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版本号：GCCS26-02320260612001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2026年渭河生态区保护管理堤南水电设施维护项目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GCCS26-023</w:t>
      </w:r>
      <w:r>
        <w:br/>
      </w:r>
      <w:r>
        <w:br/>
      </w:r>
      <w:r>
        <w:br/>
      </w:r>
    </w:p>
    <w:p>
      <w:pPr>
        <w:pStyle w:val="null3"/>
        <w:jc w:val="center"/>
        <w:outlineLvl w:val="2"/>
      </w:pPr>
      <w:r>
        <w:rPr>
          <w:rFonts w:ascii="仿宋_GB2312" w:hAnsi="仿宋_GB2312" w:cs="仿宋_GB2312" w:eastAsia="仿宋_GB2312"/>
          <w:sz w:val="28"/>
          <w:b/>
        </w:rPr>
        <w:t>西安市渭河生态区保护中心</w:t>
      </w:r>
    </w:p>
    <w:p>
      <w:pPr>
        <w:pStyle w:val="null3"/>
        <w:jc w:val="center"/>
        <w:outlineLvl w:val="2"/>
      </w:pPr>
      <w:r>
        <w:rPr>
          <w:rFonts w:ascii="仿宋_GB2312" w:hAnsi="仿宋_GB2312" w:cs="仿宋_GB2312" w:eastAsia="仿宋_GB2312"/>
          <w:sz w:val="28"/>
          <w:b/>
        </w:rPr>
        <w:t>陕西国采项目管理有限公司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陕西国采项目管理有限公司</w:t>
      </w:r>
      <w:r>
        <w:rPr>
          <w:rFonts w:ascii="仿宋_GB2312" w:hAnsi="仿宋_GB2312" w:cs="仿宋_GB2312" w:eastAsia="仿宋_GB2312"/>
        </w:rPr>
        <w:t>（以下简称“代理机构”）受</w:t>
      </w:r>
      <w:r>
        <w:rPr>
          <w:rFonts w:ascii="仿宋_GB2312" w:hAnsi="仿宋_GB2312" w:cs="仿宋_GB2312" w:eastAsia="仿宋_GB2312"/>
        </w:rPr>
        <w:t>西安市渭河生态区保护中心</w:t>
      </w:r>
      <w:r>
        <w:rPr>
          <w:rFonts w:ascii="仿宋_GB2312" w:hAnsi="仿宋_GB2312" w:cs="仿宋_GB2312" w:eastAsia="仿宋_GB2312"/>
        </w:rPr>
        <w:t>委托，拟对</w:t>
      </w:r>
      <w:r>
        <w:rPr>
          <w:rFonts w:ascii="仿宋_GB2312" w:hAnsi="仿宋_GB2312" w:cs="仿宋_GB2312" w:eastAsia="仿宋_GB2312"/>
        </w:rPr>
        <w:t>2026年渭河生态区保护管理堤南水电设施维护项目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GCCS26-023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2026年渭河生态区保护管理堤南水电设施维护项目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2026年渭河生态区保护管理堤南水电设施维护主要内容为渭河西安城市段堤南K7+370-K7+600范围内老化给水管网维护更换、破损排水管道维护更换、绿化灌溉管网维护增设、配电箱维护等内容。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采购包1（2026年渭河生态区保护管理堤南水电设施维护项目）：属于专门面向中小企业采购。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1、供应商特定资格要求：无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西安市渭河生态区保护中心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西安市未央区河堤路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029-86263595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陕西国采项目管理有限公司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西安市唐延路35号旺座现代城C座26层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029-81130182、18049538114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采购代理服务费以成交金额为基数，参照《招标代理服务收费管理暂行办法》的通知（计价格[2002]1980号）和《关于招标代理服务收费有关问题的通知》（发改办价格[2003]857号）的有关规定标准计算收取，计算不足6000元时按6000元收取。 （2）采购代理服务费缴纳账户： 开户名称：陕西国采项目管理有限公司 开 户 行：中国建设银行股份有限公司西安大庆路支行 账 号：61050174360000000901。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西安市渭河生态区保护中心</w:t>
      </w:r>
      <w:r>
        <w:rPr>
          <w:rFonts w:ascii="仿宋_GB2312" w:hAnsi="仿宋_GB2312" w:cs="仿宋_GB2312" w:eastAsia="仿宋_GB2312"/>
        </w:rPr>
        <w:t>和</w:t>
      </w:r>
      <w:r>
        <w:rPr>
          <w:rFonts w:ascii="仿宋_GB2312" w:hAnsi="仿宋_GB2312" w:cs="仿宋_GB2312" w:eastAsia="仿宋_GB2312"/>
        </w:rPr>
        <w:t>陕西国采项目管理有限公司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西安市渭河生态区保护中心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陕西国采项目管理有限公司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西安市渭河生态区保护中心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陕西国采项目管理有限公司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符合国家、地方、行业相关合格标准，符合采购人要求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陕西国采项目管理有限公司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联系电话：029-81130182</w:t>
      </w:r>
    </w:p>
    <w:p>
      <w:pPr>
        <w:pStyle w:val="null3"/>
      </w:pPr>
      <w:r>
        <w:rPr>
          <w:rFonts w:ascii="仿宋_GB2312" w:hAnsi="仿宋_GB2312" w:cs="仿宋_GB2312" w:eastAsia="仿宋_GB2312"/>
        </w:rPr>
        <w:t>地址：西安市唐延路35号旺座现代城C座26层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2026年渭河生态区保护管理堤南水电设施维护主要内容为渭河西安城市段堤南K7+370-K7+600范围内老化给水管网维护更换、破损排水管道维护更换、绿化灌溉管网维护增设、配电箱维护等内容。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485,000.00</w:t>
      </w:r>
    </w:p>
    <w:p>
      <w:pPr>
        <w:pStyle w:val="null3"/>
      </w:pPr>
      <w:r>
        <w:rPr>
          <w:rFonts w:ascii="仿宋_GB2312" w:hAnsi="仿宋_GB2312" w:cs="仿宋_GB2312" w:eastAsia="仿宋_GB2312"/>
        </w:rPr>
        <w:t>采购包最高限价（元）: 485,000.00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2026年渭河生态区保护管理堤南水电设施维护项目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485,000.00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标的名称：2026年渭河生态区保护管理堤南水电设施维护项目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18"/>
                <w:b/>
                <w:color w:val="000000"/>
              </w:rPr>
              <w:t xml:space="preserve">   一、项目概况</w:t>
            </w:r>
          </w:p>
          <w:p>
            <w:pPr>
              <w:pStyle w:val="null3"/>
              <w:ind w:firstLine="480"/>
            </w:pPr>
            <w:r>
              <w:rPr>
                <w:rFonts w:ascii="仿宋_GB2312" w:hAnsi="仿宋_GB2312" w:cs="仿宋_GB2312" w:eastAsia="仿宋_GB2312"/>
                <w:sz w:val="18"/>
              </w:rPr>
              <w:t>2026年渭河生态区保护管理堤南水电设施维护主要内容为渭河西安城市段堤南K7+370-K7+600范围内老化给水管网维护更换、破损排水管道维护更换、绿化灌溉管网维护增设、配电箱维护等内容，详见服务内容清单。</w:t>
            </w:r>
          </w:p>
          <w:p>
            <w:pPr>
              <w:pStyle w:val="null3"/>
              <w:ind w:firstLine="402"/>
              <w:jc w:val="both"/>
            </w:pPr>
            <w:r>
              <w:rPr>
                <w:rFonts w:ascii="仿宋_GB2312" w:hAnsi="仿宋_GB2312" w:cs="仿宋_GB2312" w:eastAsia="仿宋_GB2312"/>
                <w:sz w:val="18"/>
                <w:b/>
                <w:color w:val="000000"/>
              </w:rPr>
              <w:t>二</w:t>
            </w:r>
            <w:r>
              <w:rPr>
                <w:rFonts w:ascii="仿宋_GB2312" w:hAnsi="仿宋_GB2312" w:cs="仿宋_GB2312" w:eastAsia="仿宋_GB2312"/>
                <w:sz w:val="18"/>
                <w:b/>
                <w:color w:val="000000"/>
              </w:rPr>
              <w:t>、质量标准及要求</w:t>
            </w:r>
          </w:p>
          <w:p>
            <w:pPr>
              <w:pStyle w:val="null3"/>
              <w:ind w:firstLine="400"/>
              <w:jc w:val="both"/>
            </w:pPr>
            <w:r>
              <w:rPr>
                <w:rFonts w:ascii="仿宋_GB2312" w:hAnsi="仿宋_GB2312" w:cs="仿宋_GB2312" w:eastAsia="仿宋_GB2312"/>
                <w:sz w:val="18"/>
                <w:color w:val="000000"/>
              </w:rPr>
              <w:t>符合国家、地方、行业合格标准及采购人要求。</w:t>
            </w:r>
          </w:p>
          <w:p>
            <w:pPr>
              <w:pStyle w:val="null3"/>
              <w:ind w:firstLine="400"/>
              <w:jc w:val="both"/>
            </w:pPr>
            <w:r>
              <w:rPr>
                <w:rFonts w:ascii="仿宋_GB2312" w:hAnsi="仿宋_GB2312" w:cs="仿宋_GB2312" w:eastAsia="仿宋_GB2312"/>
                <w:sz w:val="18"/>
                <w:b/>
                <w:color w:val="000000"/>
              </w:rPr>
              <w:t>三</w:t>
            </w:r>
            <w:r>
              <w:rPr>
                <w:rFonts w:ascii="仿宋_GB2312" w:hAnsi="仿宋_GB2312" w:cs="仿宋_GB2312" w:eastAsia="仿宋_GB2312"/>
                <w:sz w:val="18"/>
                <w:b/>
                <w:color w:val="000000"/>
              </w:rPr>
              <w:t>、服务内容清单</w:t>
            </w:r>
          </w:p>
          <w:tbl>
            <w:tblPr>
              <w:tblInd w:type="dxa" w:w="90"/>
              <w:tblBorders>
                <w:top w:val="none" w:color="000000" w:sz="4"/>
                <w:left w:val="none" w:color="000000" w:sz="4"/>
                <w:bottom w:val="none" w:color="000000" w:sz="4"/>
                <w:right w:val="none" w:color="000000" w:sz="4"/>
                <w:insideH w:val="none"/>
                <w:insideV w:val="none"/>
              </w:tblBorders>
            </w:tblPr>
            <w:tblGrid>
              <w:gridCol w:w="214"/>
              <w:gridCol w:w="639"/>
              <w:gridCol w:w="219"/>
              <w:gridCol w:w="298"/>
              <w:gridCol w:w="1171"/>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6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项目名称</w:t>
                  </w:r>
                </w:p>
              </w:tc>
              <w:tc>
                <w:tcPr>
                  <w:tcW w:type="dxa" w:w="2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c>
                <w:tcPr>
                  <w:tcW w:type="dxa" w:w="2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c>
                <w:tcPr>
                  <w:tcW w:type="dxa" w:w="1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备注</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一</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堤南水电维护</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人工开挖土方</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m³</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773.77</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人工开挖、修底。给排水管道1.2m深、1m宽260m，1m深、1m宽267m，0.9m深、0.85m宽78m，0.8m深、0.65m宽12m，0.7m深、0.5m宽18m，1.2m深、1m宽20m。电缆沟0.8m深、0.8m宽154m。</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老旧管道拆除</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547</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对老化损坏的给排水管道进行拆除547m。</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砂垫层回填</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m³</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73</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给排水管道人工铺设管道砂垫层，厚度0.2m。</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管道铺设调试100以上</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358</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包含管件（三通、弯头、转换器等）、阀门安装、压力测试、冲洗费用，运杂费等。</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管道铺设调试100以下</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297</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包含管件（三通、弯头、转换器等）、阀门安装、压力测试、冲洗费用，运杂费等。</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土方回填</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m³</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701.15</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土方分层回填，机械夯实</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垃圾外弃</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m³</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88.7</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路面废渣、废管等清理外运，运距8km。要求运至合规建筑垃圾消纳场处置。</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水泥路面凿除</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18.4</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46米，宽度1米，厚度40cm</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沥青路面恢复</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46</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总长46m，宽1m。恢复碎石路基14cm，沥青混凝土路面硬化8cm。</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阀门检修井砌筑</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座</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1.8*1.8*2m，1.5*1.5*1m，0.5*0.5*0.8m各1座。含开挖、砌筑、抹面以及井盖、配件、运杂费等。</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减压阀DN100安装</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处</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每处含配套法兰2个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不锈钢截止阀DN100安装</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处</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每处含配套法兰2个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不锈钢截止阀DN50安装</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处</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每处含配套法兰2个</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配电箱维护</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不锈钢50cm×60cm配电箱安装，含空开、交流接触器、指示灯、控制按钮、变频器、电压表、接地端子、控制端子等。砖砌配电柜基座。</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排污泵安装</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3KW，含16mm2水泵电缆25m。</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浮球阀安装</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铜浮球阀，含3*2.5mm2水泵电缆7m。</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电缆铺设</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m</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154</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铠装，铜材质，4*240+1*185mm2</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电力电缆终端接头</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个</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二</w:t>
                  </w:r>
                </w:p>
              </w:tc>
              <w:tc>
                <w:tcPr>
                  <w:tcW w:type="dxa" w:w="6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预备费</w:t>
                  </w:r>
                </w:p>
              </w:tc>
              <w:tc>
                <w:tcPr>
                  <w:tcW w:type="dxa" w:w="2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项</w:t>
                  </w:r>
                </w:p>
              </w:tc>
              <w:tc>
                <w:tcPr>
                  <w:tcW w:type="dxa" w:w="2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1</w:t>
                  </w:r>
                </w:p>
              </w:tc>
              <w:tc>
                <w:tcPr>
                  <w:tcW w:type="dxa" w:w="1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含不可预见费等，按一项合计金额的6%填报</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供应商需配备能力和人数满足本项目工作内容的服务团队，作业人员需具备相关能力。</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供应商应该按照项目的需求配备合理的设备设施，以确保项目顺利实施。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渭河生态区渭河西安城市段堤南K7+370-K7+600范围内采购人指定地点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符合国家、地方、行业相关合格标准，符合采购人要求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根据陕财办采〔2022〕5号《陕西省财政厅关于进一步加大政府采购支持中小企业力度的通知》，授予中小企业政府采购合同预付款比例不得低于合同价款的40%。本项目双方签订合同后，乙方开具相应增值税普通发票，甲方收到发票后，支付合同总价款的50%作为预付款，用于材料采购，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其他，全部服务内容完成且甲方出具书面《履约验收单》后，乙方开具增值税普通发票，达到付款条件起10个工作日内，支付合同总金额的50.0%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1.除不可抗力外，如果乙方没有按照本合同约定的期限、地点和方式交付服务成果或者实施服务，那么甲方可要求乙方支付违约金，迟延履行违约金按每迟延履行一日的应提供而未提供服务价格的 0.5 %计算，最高限额为本合同总价的 15 %；迟延履行的违约金计算数额达到前述最高限额之日起，甲方有权在要求乙方支付违约金的同时，书面通知乙方解除本合同； 2.除不可抗力外，如果甲方没有按照本合同约定的付款方式付款，那么乙方可要求甲方支付违约金，违约金按每迟延付款一日的应付而未付款的 0.1 %计算，最高限额为本合同总价的 1 %；迟延付款的违约金计算数额达到前述最高限额之日起，乙方有权在要求甲方支付违约金的同时，书面通知甲方解除本合同； 3.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 4. 除前述约定外，任何一方未能履行本合同约定的义务，对方当事人均有权要求继续履行、采取补救措施或者赔偿损失等，且对方当事人行使的任何权利救济方式均不视为其放弃了其他法定或者约定的权利救济方式； 5.如果出现政府采购监督管理部门在处理投诉事项期间，书面通知甲方暂停采购活动的情形，或者询问或质疑事项可能影响中标或者成交结果的，导致甲方中止履行合同的情形，均不视为甲方违约。 6.违约责任合同专用条款另有约定的，从其约定。 （二）争议的解决 本合同履行过程中发生的任何争议，双方当事人均可通过和解或者调解解决；不愿和解、调解或者和解、调解不成的，可以选择向甲方所在地人民法院起诉。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（一）本项目采购标的所属行业为：其他未列明行业 从业人员300人以下的为中小微型企业。其中，从业人员100人及以上的为中型企业；从业人员10人及以上的为小型企业；从业人员10人以下的为微型企业。 （二）成交供应商在领取成交通知书前，须向采购代理机构提供纸质版响应文件2套，且提供的响应文件必须与在陕西省政府采购综合管理平台的项目电子化交易系统中递交的电子响应文件内容一致，纸质版响应文件必须装订成册签字盖章。 （三）根据《西安市财政局关于促进政府采购公平竞争优化营商环境的通知》（市财函〔2021〕431号）文件的要求，采购代理机构向采购人提交评标报告、采购人确定中标人、采购代理机构发布中标公告和采购人或采购代理机构发出中标通知书的期限要求，均在法定期限要求基础上提前1个工作日。 （四）根据《陕西省财政厅关于持续优化政府采购营商环境有关事项的通知》（陕财办采〔2024〕9 号）文件的通知，采购人在中标（成交）通知书发出之日起 25 日内，按照采购文件确定的事项与中标（成交）供应商签订政府采购合同。 （五）本项目落实的政府采购政策： （1）《政府采购促进中小企业发展管理办法》（财库〔2020〕46号）； （2）《财政部、司法部关于政府采购支持监狱企业发展有关问题的通知》（财库〔2014〕68号）； （3）《关于促进残疾人就业政府采购政策的通知》（财库〔2017〕141号）； （4）《陕西省中小企业政府采购信用融资办法》（陕财办采〔2018〕23号）； （5）《国务院办公厅关于建立政府强制采购节能产品制度的通知》（国办发〔2007〕51号）； （6）《财政部、国家发展改革委、生态环境部、市场监管总局关于调整优化节能产品、环境标志产品政府采购执行机制的通知》（财库[2019]9号）； （7）《财政部关于印发&lt;进口产品管理办法&gt;的通知》（财库[2007]119号）； （8）《财政部办公厅关于政府采购进口产品管理有关问题的通知》（财办库[2008]248号）； （9）《关于进一步加大政府采购支持中小企业力度的通知》（财库〔2022〕19号）； （10）《国务院办公厅关于在政府采购中实施本国产品标准及相关政策的通知》（国办发〔2025〕34号）； （11）其他需要落实的政府采购政策。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2）供应商应提供健全的财务会计制度：提供2024或2025年度经审计的供应商财务会计报告或者提供响应文件截止时间3个月内其基本账户开户银行出具的资信证明（提供资信证明时需附基本户开户行基本信息）； （3）税收缴纳证明：提供供应商自磋商前1年以来已缴纳任意时段完税凭证或税务机关开具的完税证明（任意税种）；依法免税的应提供相关文件证明； （4）社会保障资金缴纳证明：提供供应商自磋商前1年以来已缴存的任意时段的社会保障资金缴存单据或社保机构开具的社会保险参保缴费情况证明；依法不需要缴纳社会保障资金的供应商应提供相关文件证明； （5）提供供应商具备履行合同所必需的设备和专业技术能力的证明材料； （6）供应商参加本次磋商前3年内，在经营活动中没有重大违法记录的书面声明；（7）采购人、采购代理机构将通过“信用中国”网站（www.creditchina.gov.cn）和中国政府采购网站（www.ccgp.gov.cn）查询供应商信用记录，被列入失信被执行人、重大税收违法失信主体、政府采购严重违法失信行为记录名单的供应商将被拒绝参与本项目磋商，信用信息查询的截止时点以供应商须知前附表的规定时点为准。 供应商需在《供应商应提交的相关资格证明材料》中提供上述资格证明材料，在项目电子化交易系统中按要求填写《响应函》完成承诺并进行电子签章。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供应商特定资格要求</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商务应答表 服务内容及服务要求应答表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法定代表人（单位负责人）身份证明或委托授权书</w:t>
            </w:r>
          </w:p>
        </w:tc>
        <w:tc>
          <w:tcPr>
            <w:tcW w:type="dxa" w:w="3322"/>
          </w:tcPr>
          <w:p>
            <w:pPr>
              <w:pStyle w:val="null3"/>
            </w:pPr>
            <w:r>
              <w:rPr>
                <w:rFonts w:ascii="仿宋_GB2312" w:hAnsi="仿宋_GB2312" w:cs="仿宋_GB2312" w:eastAsia="仿宋_GB2312"/>
              </w:rPr>
              <w:t>法定代表人（单位负责人）参加磋商的，提供法定代表人（单位负责人）身份证明；法定代表人（单位负责人）授权他人参加磋商的，提供法定代表人（单位负责人）委托授权书</w:t>
            </w:r>
          </w:p>
        </w:tc>
        <w:tc>
          <w:tcPr>
            <w:tcW w:type="dxa" w:w="1661"/>
          </w:tcPr>
          <w:p>
            <w:pPr>
              <w:pStyle w:val="null3"/>
            </w:pPr>
            <w:r>
              <w:rPr>
                <w:rFonts w:ascii="仿宋_GB2312" w:hAnsi="仿宋_GB2312" w:cs="仿宋_GB2312" w:eastAsia="仿宋_GB2312"/>
              </w:rPr>
              <w:t>法定代表人（单位负责人）身份证明或委托授权书.docx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符合“响应文件格式”的规定</w:t>
            </w:r>
          </w:p>
        </w:tc>
        <w:tc>
          <w:tcPr>
            <w:tcW w:type="dxa" w:w="1661"/>
          </w:tcPr>
          <w:p>
            <w:pPr>
              <w:pStyle w:val="null3"/>
            </w:pPr>
            <w:r>
              <w:rPr>
                <w:rFonts w:ascii="仿宋_GB2312" w:hAnsi="仿宋_GB2312" w:cs="仿宋_GB2312" w:eastAsia="仿宋_GB2312"/>
              </w:rPr>
              <w:t>响应文件封面 费用组成明细表.docx 商务应答表 服务内容及服务要求应答表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不存在恶意串通的情形</w:t>
            </w:r>
          </w:p>
        </w:tc>
        <w:tc>
          <w:tcPr>
            <w:tcW w:type="dxa" w:w="3322"/>
          </w:tcPr>
          <w:p>
            <w:pPr>
              <w:pStyle w:val="null3"/>
            </w:pPr>
            <w:r>
              <w:rPr>
                <w:rFonts w:ascii="仿宋_GB2312" w:hAnsi="仿宋_GB2312" w:cs="仿宋_GB2312" w:eastAsia="仿宋_GB2312"/>
              </w:rPr>
              <w:t>有下列情形之一的，视为供应商相互恶意串通，响应文件无效： （1）不同供应商的响应文件由同一单位或者个人编制； （2）不同供应商委托同一单位或者个人办理磋商事宜； （3）不同供应商的响应文件载明的项目管理成员为同一人； （4）不同供应商的响应文件异常一致或者磋商报价呈规律性差异；（5）不同供应商的磋商保证金从同一单位或者个人的账户转出</w:t>
            </w:r>
          </w:p>
        </w:tc>
        <w:tc>
          <w:tcPr>
            <w:tcW w:type="dxa" w:w="1661"/>
          </w:tcPr>
          <w:p>
            <w:pPr>
              <w:pStyle w:val="null3"/>
            </w:pPr>
            <w:r>
              <w:rPr>
                <w:rFonts w:ascii="仿宋_GB2312" w:hAnsi="仿宋_GB2312" w:cs="仿宋_GB2312" w:eastAsia="仿宋_GB2312"/>
              </w:rPr>
              <w:t>法定代表人（单位负责人）身份证明或委托授权书.docx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符合本项目采购需求规定的服务范围</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符合磋商文件实质性要求的规定</w:t>
            </w:r>
          </w:p>
        </w:tc>
        <w:tc>
          <w:tcPr>
            <w:tcW w:type="dxa" w:w="1661"/>
          </w:tcPr>
          <w:p>
            <w:pPr>
              <w:pStyle w:val="null3"/>
            </w:pPr>
            <w:r>
              <w:rPr>
                <w:rFonts w:ascii="仿宋_GB2312" w:hAnsi="仿宋_GB2312" w:cs="仿宋_GB2312" w:eastAsia="仿宋_GB2312"/>
              </w:rPr>
              <w:t>商务应答表 服务内容及服务要求应答表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维护方案</w:t>
            </w:r>
          </w:p>
        </w:tc>
        <w:tc>
          <w:tcPr>
            <w:tcW w:type="dxa" w:w="2492"/>
          </w:tcPr>
          <w:p>
            <w:pPr>
              <w:pStyle w:val="null3"/>
            </w:pPr>
            <w:r>
              <w:rPr>
                <w:rFonts w:ascii="仿宋_GB2312" w:hAnsi="仿宋_GB2312" w:cs="仿宋_GB2312" w:eastAsia="仿宋_GB2312"/>
              </w:rPr>
              <w:t>一、评审内容 针对采购内容提出适用于本项目的维护方案，主要方案包括：①老化给水管网维护更换方案；②破损排水管道维护更换方案；③绿化灌溉管网维护增设方案；④区域供电电缆维护增设方案；⑤配电箱维护方案；⑥垃圾外弃方案。 二、评审标准 1、完整性：方案必须全面，对评审内容中的各项要求有详细描述； 2、针对性：方案能够紧扣项目实际情况，内容科学合理； 3、可实施性：切合本项目实际情况，提出步骤清晰、合理的方案。 三、赋分标准（满分18分） ①-⑥评审项：每完全满足一个评审标准得1分；针对评审标准存在有不合理处的得0.5分；内容与本项目无关或未提供的得0分。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现场组织方案</w:t>
            </w:r>
          </w:p>
        </w:tc>
        <w:tc>
          <w:tcPr>
            <w:tcW w:type="dxa" w:w="2492"/>
          </w:tcPr>
          <w:p>
            <w:pPr>
              <w:pStyle w:val="null3"/>
            </w:pPr>
            <w:r>
              <w:rPr>
                <w:rFonts w:ascii="仿宋_GB2312" w:hAnsi="仿宋_GB2312" w:cs="仿宋_GB2312" w:eastAsia="仿宋_GB2312"/>
              </w:rPr>
              <w:t>一、评审内容 针对采购内容提出适用于本项目的现场组织方案，方案包括：①维护作业现场组织管理方案；②维护作业现场环境卫生保护方案。 二、评审标准 1、完整性：方案必须全面，对评审内容中的各项要求有详细描述； 2、针对性：方案能够紧扣项目实际情况，内容科学合理； 3、可实施性：切合本项目实际情况，提出步骤清晰、合理的方案。 三、赋分标准（满分6分） ①-②评审项：每完全满足一个评审标准得1分；针对评审标准存在有不合理处的得0.5分；内容与本项目无关或未提供的得0分。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针对采购内容提出适用于本项目的保障措施，包括：①各项维护作业规范化保障措施；②维护人员安全保障措施；③项目实施进度保障措施；④拟更换材料的质量保障措施。 二、评审标准 1、完整性：方案必须全面，对评审内容中的各项要求有详细描述； 2、针对性：方案能够紧扣项目实际情况，内容科学合理； 3、可实施性：切合本项目实际情况，提出步骤清晰、合理的方案。 三、赋分标准（满分12分） ①-④评审项：每完全满足一个评审标准得1分；针对评审标准存在有不合理处的得0.5分；内容与本项目无关或未提供的得0分。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①内控制度：具有管理组织机构、监督机制、自查制度等； ②现场管理制度：工作流程、安全检查、保养、检修制度等。 二、评审标准 1、完整性：方案必须全面，对评审内容中的各项要求有详细描述； 2、针对性：方案能够紧扣项目实际情况，内容科学合理； 3、科学性：切合本项目实际情况，提出科学、合理的方案。 三、赋分标准（满分6分） ①-②评审项：每完全满足一个评审标准得1分；针对评审标准存在有不合理处的得0.5分；内容与本项目无关或未提供的得0分。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人员配置方案及维护设备、机具配置方案</w:t>
            </w:r>
          </w:p>
        </w:tc>
        <w:tc>
          <w:tcPr>
            <w:tcW w:type="dxa" w:w="2492"/>
          </w:tcPr>
          <w:p>
            <w:pPr>
              <w:pStyle w:val="null3"/>
            </w:pPr>
            <w:r>
              <w:rPr>
                <w:rFonts w:ascii="仿宋_GB2312" w:hAnsi="仿宋_GB2312" w:cs="仿宋_GB2312" w:eastAsia="仿宋_GB2312"/>
              </w:rPr>
              <w:t>一、评审内容 针对采购内容提出适用于本项目的人员配置方案及维护设备、机具配置方案，方案包括：①人员配置方案；②维护设备、机具配置方案。 二、评审标准 1、完整性：方案必须全面，对评审内容中的各项要求有详细描述； 2、针对性：方案能够紧扣项目实际情况，内容科学合理； 3、科学性：切合本项目实际情况，提出科学、合理配置的方案。 三、赋分标准（满分6分） ①-②评审项：每完全满足一个评审标准得1分；针对评审标准存在有不合理处的得0.5分；内容与本项目无关或未提供的得0分。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采购内容提出适用于本项目的服务承诺，方案包括：①对服务过程中服务质量的一致性、稳定性等作出承诺；②对于项目实施过程中人员安全、环境卫生的保护等内容作出承诺；③对实施过程中与采购人的沟通、协调等内容作出承诺；④针对采购人的其他任务及情况的处理的专项承诺；⑤对服务期内应急情况下的响应时间等做出承诺。 二、评审标准 1、完整性：方案必须全面，对评审内容中的各项要求有详细描述； 2、针对性：方案能够紧扣项目实际情况，内容科学合理； 3、可实施性：切合本项目实际情况，提出步骤清晰、合理的方案。 三、赋分标准（满分15分） ①-⑤评审项：每完全满足一个评审标准得1分；针对评审标准存在有不合理处的得0.5分；内容与本项目无关或未提供的得0分。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阀门、电缆、配电箱、排污泵等产品来源渠道证明材料，包括但不限于授权书（或代理证书、承诺书）或销售协议等，提供相关证明材料的得2分，供应商为制造商的直接得2分，供应商未提供的不得分。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供应商2022年至今类似项目业绩（以合同签订时间为准），每个业绩得1分，最高得5分（须提供合同复印件并加盖供应商公章）。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以本次满足磋商文件要求的最低最终磋商报价为磋商基准价，其价格为满分，供应商的价格分，统一按照下列公式计算：最后报价得分=(磋商基准价／最终磋商报价)×30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详见附件：法定代表人（单位负责人）身份证明或委托授权书.docx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详见附件：供应商项目业绩一览表.docx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