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10C83">
      <w:pPr>
        <w:pStyle w:val="10"/>
        <w:jc w:val="center"/>
        <w:outlineLvl w:val="1"/>
      </w:pPr>
      <w:r>
        <w:rPr>
          <w:b/>
          <w:sz w:val="36"/>
        </w:rPr>
        <w:t xml:space="preserve"> 拟签订采购合同文本</w:t>
      </w:r>
    </w:p>
    <w:p w14:paraId="7DE8D60F">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p>
    <w:p w14:paraId="206EF6FD">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p>
    <w:p w14:paraId="79D62E9D">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rPr>
      </w:pPr>
    </w:p>
    <w:p w14:paraId="09C8C52C">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highlight w:val="none"/>
        </w:rPr>
      </w:pPr>
      <w:r>
        <w:rPr>
          <w:rFonts w:hint="eastAsia" w:ascii="宋体" w:hAnsi="宋体" w:eastAsia="宋体" w:cs="宋体"/>
          <w:b/>
          <w:color w:val="000000"/>
          <w:sz w:val="44"/>
          <w:szCs w:val="44"/>
          <w:highlight w:val="none"/>
        </w:rPr>
        <w:t>政府采购合同</w:t>
      </w:r>
    </w:p>
    <w:p w14:paraId="4CAB7A7B">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宋体" w:hAnsi="宋体" w:eastAsia="宋体" w:cs="宋体"/>
          <w:b/>
          <w:color w:val="000000"/>
          <w:sz w:val="44"/>
          <w:szCs w:val="44"/>
          <w:highlight w:val="none"/>
        </w:rPr>
      </w:pPr>
      <w:r>
        <w:rPr>
          <w:rFonts w:hint="eastAsia" w:ascii="宋体" w:hAnsi="宋体" w:eastAsia="宋体" w:cs="宋体"/>
          <w:b/>
          <w:color w:val="000000"/>
          <w:sz w:val="44"/>
          <w:szCs w:val="44"/>
          <w:highlight w:val="none"/>
        </w:rPr>
        <w:t>（</w:t>
      </w:r>
      <w:r>
        <w:rPr>
          <w:rFonts w:hint="eastAsia" w:ascii="宋体" w:hAnsi="宋体" w:eastAsia="宋体" w:cs="宋体"/>
          <w:b/>
          <w:color w:val="000000"/>
          <w:sz w:val="44"/>
          <w:szCs w:val="44"/>
          <w:highlight w:val="none"/>
          <w:lang w:val="en-US" w:eastAsia="zh-CN"/>
        </w:rPr>
        <w:t>服务</w:t>
      </w:r>
      <w:r>
        <w:rPr>
          <w:rFonts w:hint="eastAsia" w:ascii="宋体" w:hAnsi="宋体" w:eastAsia="宋体" w:cs="宋体"/>
          <w:b/>
          <w:color w:val="000000"/>
          <w:sz w:val="44"/>
          <w:szCs w:val="44"/>
          <w:highlight w:val="none"/>
        </w:rPr>
        <w:t>类</w:t>
      </w:r>
      <w:r>
        <w:rPr>
          <w:rFonts w:hint="eastAsia" w:ascii="宋体" w:hAnsi="宋体" w:eastAsia="宋体" w:cs="宋体"/>
          <w:b/>
          <w:color w:val="000000"/>
          <w:sz w:val="44"/>
          <w:szCs w:val="44"/>
          <w:highlight w:val="none"/>
          <w:lang w:eastAsia="zh-CN"/>
        </w:rPr>
        <w:t>竞争性磋商</w:t>
      </w:r>
      <w:r>
        <w:rPr>
          <w:rFonts w:hint="eastAsia" w:ascii="宋体" w:hAnsi="宋体" w:eastAsia="宋体" w:cs="宋体"/>
          <w:b/>
          <w:color w:val="000000"/>
          <w:sz w:val="44"/>
          <w:szCs w:val="44"/>
          <w:highlight w:val="none"/>
        </w:rPr>
        <w:t>）</w:t>
      </w:r>
    </w:p>
    <w:p w14:paraId="01F264BB">
      <w:pPr>
        <w:pStyle w:val="3"/>
        <w:rPr>
          <w:color w:val="000000"/>
          <w:highlight w:val="none"/>
        </w:rPr>
      </w:pPr>
    </w:p>
    <w:p w14:paraId="53B13A4F">
      <w:pPr>
        <w:pStyle w:val="3"/>
        <w:rPr>
          <w:color w:val="000000"/>
          <w:highlight w:val="none"/>
        </w:rPr>
      </w:pPr>
    </w:p>
    <w:p w14:paraId="668AD88E">
      <w:pPr>
        <w:adjustRightInd/>
        <w:spacing w:line="360" w:lineRule="auto"/>
        <w:ind w:left="1680" w:leftChars="800"/>
        <w:rPr>
          <w:color w:val="000000"/>
          <w:sz w:val="32"/>
          <w:szCs w:val="32"/>
          <w:highlight w:val="none"/>
        </w:rPr>
      </w:pPr>
      <w:r>
        <w:rPr>
          <w:rFonts w:hint="eastAsia" w:ascii="宋体" w:hAnsi="宋体" w:cs="宋体"/>
          <w:b/>
          <w:bCs/>
          <w:color w:val="000000"/>
          <w:kern w:val="0"/>
          <w:sz w:val="32"/>
          <w:szCs w:val="32"/>
          <w:highlight w:val="none"/>
        </w:rPr>
        <w:t>项目名称</w:t>
      </w:r>
      <w:r>
        <w:rPr>
          <w:rFonts w:hint="eastAsia" w:ascii="宋体" w:hAnsi="宋体" w:cs="宋体"/>
          <w:color w:val="000000"/>
          <w:kern w:val="0"/>
          <w:sz w:val="32"/>
          <w:szCs w:val="32"/>
          <w:highlight w:val="none"/>
        </w:rPr>
        <w:t>：</w:t>
      </w:r>
      <w:r>
        <w:rPr>
          <w:color w:val="000000"/>
          <w:sz w:val="32"/>
          <w:szCs w:val="32"/>
          <w:highlight w:val="none"/>
          <w:u w:val="single"/>
        </w:rPr>
        <w:t xml:space="preserve">                        </w:t>
      </w:r>
    </w:p>
    <w:p w14:paraId="7A4F7FC1">
      <w:pPr>
        <w:adjustRightInd/>
        <w:spacing w:line="360" w:lineRule="auto"/>
        <w:ind w:left="1680" w:leftChars="800"/>
        <w:rPr>
          <w:color w:val="000000"/>
          <w:sz w:val="32"/>
          <w:szCs w:val="32"/>
          <w:highlight w:val="none"/>
          <w:u w:val="single"/>
        </w:rPr>
      </w:pPr>
      <w:r>
        <w:rPr>
          <w:rFonts w:hint="eastAsia"/>
          <w:b/>
          <w:bCs/>
          <w:color w:val="000000"/>
          <w:sz w:val="32"/>
          <w:szCs w:val="32"/>
          <w:highlight w:val="none"/>
        </w:rPr>
        <w:t>合同编号：</w:t>
      </w:r>
      <w:r>
        <w:rPr>
          <w:color w:val="000000"/>
          <w:sz w:val="32"/>
          <w:szCs w:val="32"/>
          <w:highlight w:val="none"/>
          <w:u w:val="single"/>
        </w:rPr>
        <w:t xml:space="preserve">                        </w:t>
      </w:r>
    </w:p>
    <w:p w14:paraId="78F0A849">
      <w:pPr>
        <w:pStyle w:val="2"/>
        <w:numPr>
          <w:ilvl w:val="0"/>
          <w:numId w:val="0"/>
        </w:numPr>
        <w:tabs>
          <w:tab w:val="clear" w:pos="432"/>
        </w:tabs>
        <w:ind w:leftChars="0"/>
        <w:rPr>
          <w:highlight w:val="none"/>
        </w:rPr>
      </w:pPr>
    </w:p>
    <w:p w14:paraId="4BC97BC2">
      <w:pPr>
        <w:rPr>
          <w:highlight w:val="none"/>
        </w:rPr>
      </w:pPr>
    </w:p>
    <w:p w14:paraId="7162F7E7">
      <w:pPr>
        <w:rPr>
          <w:highlight w:val="none"/>
        </w:rPr>
      </w:pPr>
    </w:p>
    <w:p w14:paraId="417D84AD">
      <w:pPr>
        <w:pStyle w:val="2"/>
        <w:numPr>
          <w:ilvl w:val="0"/>
          <w:numId w:val="0"/>
        </w:numPr>
        <w:tabs>
          <w:tab w:val="clear" w:pos="432"/>
        </w:tabs>
        <w:ind w:leftChars="0"/>
      </w:pPr>
    </w:p>
    <w:p w14:paraId="50FFB3BB">
      <w:pPr>
        <w:adjustRightInd/>
        <w:spacing w:line="360" w:lineRule="auto"/>
        <w:ind w:left="1680" w:leftChars="800"/>
        <w:rPr>
          <w:color w:val="000000"/>
          <w:sz w:val="32"/>
          <w:szCs w:val="32"/>
          <w:highlight w:val="none"/>
        </w:rPr>
      </w:pPr>
      <w:r>
        <w:rPr>
          <w:rFonts w:hint="eastAsia" w:eastAsia="宋体"/>
          <w:b/>
          <w:bCs/>
          <w:color w:val="000000"/>
          <w:sz w:val="32"/>
          <w:szCs w:val="32"/>
          <w:highlight w:val="none"/>
        </w:rPr>
        <w:t>甲    方：</w:t>
      </w:r>
      <w:r>
        <w:rPr>
          <w:color w:val="000000"/>
          <w:sz w:val="32"/>
          <w:szCs w:val="32"/>
          <w:highlight w:val="none"/>
          <w:u w:val="single"/>
        </w:rPr>
        <w:t xml:space="preserve">                        </w:t>
      </w:r>
    </w:p>
    <w:p w14:paraId="2E41DF3A">
      <w:pPr>
        <w:adjustRightInd/>
        <w:spacing w:line="360" w:lineRule="auto"/>
        <w:ind w:left="1680" w:leftChars="800"/>
        <w:rPr>
          <w:color w:val="000000"/>
          <w:sz w:val="32"/>
          <w:szCs w:val="32"/>
          <w:highlight w:val="none"/>
          <w:u w:val="single"/>
        </w:rPr>
      </w:pPr>
      <w:r>
        <w:rPr>
          <w:rFonts w:hint="eastAsia" w:eastAsia="宋体"/>
          <w:b/>
          <w:bCs/>
          <w:color w:val="000000"/>
          <w:sz w:val="32"/>
          <w:szCs w:val="32"/>
          <w:highlight w:val="none"/>
        </w:rPr>
        <w:t>乙    方：</w:t>
      </w:r>
      <w:r>
        <w:rPr>
          <w:color w:val="000000"/>
          <w:sz w:val="32"/>
          <w:szCs w:val="32"/>
          <w:highlight w:val="none"/>
          <w:u w:val="single"/>
        </w:rPr>
        <w:t xml:space="preserve">                        </w:t>
      </w:r>
    </w:p>
    <w:p w14:paraId="55EBBDED">
      <w:pPr>
        <w:adjustRightInd/>
        <w:spacing w:line="360" w:lineRule="auto"/>
        <w:ind w:left="1680" w:leftChars="800"/>
        <w:rPr>
          <w:rFonts w:ascii="宋体" w:hAnsi="宋体" w:cs="宋体"/>
          <w:color w:val="000000"/>
          <w:kern w:val="0"/>
          <w:sz w:val="24"/>
          <w:highlight w:val="none"/>
        </w:rPr>
        <w:sectPr>
          <w:pgSz w:w="11907" w:h="16840"/>
          <w:pgMar w:top="1474" w:right="1814" w:bottom="1474" w:left="1814" w:header="851" w:footer="851" w:gutter="0"/>
          <w:cols w:space="720" w:num="1"/>
        </w:sectPr>
      </w:pPr>
      <w:r>
        <w:rPr>
          <w:rFonts w:hint="eastAsia" w:eastAsia="宋体"/>
          <w:b/>
          <w:bCs/>
          <w:color w:val="000000"/>
          <w:sz w:val="32"/>
          <w:szCs w:val="32"/>
          <w:highlight w:val="none"/>
        </w:rPr>
        <w:t>签订时间：</w:t>
      </w:r>
      <w:r>
        <w:rPr>
          <w:color w:val="000000"/>
          <w:sz w:val="32"/>
          <w:szCs w:val="32"/>
          <w:highlight w:val="none"/>
          <w:u w:val="single"/>
        </w:rPr>
        <w:t xml:space="preserve">                        </w:t>
      </w:r>
    </w:p>
    <w:p w14:paraId="07875678">
      <w:pPr>
        <w:spacing w:line="360" w:lineRule="auto"/>
        <w:jc w:val="center"/>
        <w:outlineLvl w:val="1"/>
        <w:rPr>
          <w:rFonts w:hint="eastAsia" w:ascii="宋体" w:hAnsi="宋体"/>
          <w:b/>
          <w:color w:val="000000" w:themeColor="text1"/>
          <w:sz w:val="24"/>
          <w14:textFill>
            <w14:solidFill>
              <w14:schemeClr w14:val="tx1"/>
            </w14:solidFill>
          </w14:textFill>
        </w:rPr>
      </w:pPr>
      <w:bookmarkStart w:id="0" w:name="_Toc22209"/>
    </w:p>
    <w:p w14:paraId="7ACE3AD5">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Calibri" w:hAnsi="Calibri" w:eastAsia="宋体"/>
          <w:b/>
          <w:bCs/>
          <w:sz w:val="44"/>
          <w:szCs w:val="44"/>
        </w:rPr>
      </w:pPr>
      <w:r>
        <w:rPr>
          <w:rFonts w:hint="eastAsia" w:ascii="Calibri" w:hAnsi="Calibri" w:eastAsia="宋体"/>
          <w:b/>
          <w:bCs/>
          <w:sz w:val="44"/>
          <w:szCs w:val="44"/>
        </w:rPr>
        <w:t>第一节 政府采购合同协议书</w:t>
      </w:r>
      <w:bookmarkEnd w:id="0"/>
    </w:p>
    <w:p w14:paraId="3954C90A">
      <w:pPr>
        <w:pStyle w:val="2"/>
        <w:numPr>
          <w:ilvl w:val="0"/>
          <w:numId w:val="0"/>
        </w:numPr>
        <w:ind w:leftChars="0"/>
      </w:pPr>
    </w:p>
    <w:p w14:paraId="782EC04C">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年</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月</w:t>
      </w:r>
      <w:r>
        <w:rPr>
          <w:rFonts w:hint="eastAsia" w:ascii="仿宋" w:hAnsi="仿宋" w:eastAsia="仿宋" w:cs="仿宋"/>
          <w:color w:val="000000" w:themeColor="text1"/>
          <w:sz w:val="28"/>
          <w:szCs w:val="28"/>
          <w:u w:val="single"/>
          <w:lang w:val="zh-CN"/>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日</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lang w:val="en-US" w:eastAsia="zh-CN"/>
          <w14:textFill>
            <w14:solidFill>
              <w14:schemeClr w14:val="tx1"/>
            </w14:solidFill>
          </w14:textFill>
        </w:rPr>
        <w:t>西安市渭河生态区保护中心</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以</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lang w:val="en-US" w:eastAsia="zh-CN"/>
          <w14:textFill>
            <w14:solidFill>
              <w14:schemeClr w14:val="tx1"/>
            </w14:solidFill>
          </w14:textFill>
        </w:rPr>
        <w:t>竞争性磋商</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对</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 xml:space="preserve">2026年渭河生态区保护管理堤南水电设施维护项目 </w:t>
      </w:r>
      <w:r>
        <w:rPr>
          <w:rFonts w:hint="eastAsia" w:ascii="仿宋" w:hAnsi="仿宋" w:eastAsia="仿宋" w:cs="仿宋"/>
          <w:color w:val="000000" w:themeColor="text1"/>
          <w:sz w:val="28"/>
          <w:szCs w:val="28"/>
          <w14:textFill>
            <w14:solidFill>
              <w14:schemeClr w14:val="tx1"/>
            </w14:solidFill>
          </w14:textFill>
        </w:rPr>
        <w:t>项目进行了采购。</w:t>
      </w:r>
      <w:r>
        <w:rPr>
          <w:rFonts w:hint="eastAsia" w:ascii="仿宋" w:hAnsi="仿宋" w:eastAsia="仿宋" w:cs="仿宋"/>
          <w:color w:val="000000" w:themeColor="text1"/>
          <w:sz w:val="28"/>
          <w:szCs w:val="28"/>
          <w:highlight w:val="none"/>
          <w14:textFill>
            <w14:solidFill>
              <w14:schemeClr w14:val="tx1"/>
            </w14:solidFill>
          </w14:textFill>
        </w:rPr>
        <w:t>经</w:t>
      </w:r>
      <w:r>
        <w:rPr>
          <w:rFonts w:hint="eastAsia" w:ascii="仿宋" w:hAnsi="仿宋" w:eastAsia="仿宋" w:cs="仿宋"/>
          <w:color w:val="000000" w:themeColor="text1"/>
          <w:sz w:val="28"/>
          <w:szCs w:val="28"/>
          <w:highlight w:val="none"/>
          <w:u w:val="single"/>
          <w14:textFill>
            <w14:solidFill>
              <w14:schemeClr w14:val="tx1"/>
            </w14:solidFill>
          </w14:textFill>
        </w:rPr>
        <w:t xml:space="preserve">   （相关评定主体名称）   </w:t>
      </w:r>
      <w:r>
        <w:rPr>
          <w:rFonts w:hint="eastAsia" w:ascii="仿宋" w:hAnsi="仿宋" w:eastAsia="仿宋" w:cs="仿宋"/>
          <w:color w:val="000000" w:themeColor="text1"/>
          <w:sz w:val="28"/>
          <w:szCs w:val="28"/>
          <w:highlight w:val="none"/>
          <w14:textFill>
            <w14:solidFill>
              <w14:schemeClr w14:val="tx1"/>
            </w14:solidFill>
          </w14:textFill>
        </w:rPr>
        <w:t>评定</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（成交供应商名称） </w:t>
      </w:r>
      <w:r>
        <w:rPr>
          <w:rFonts w:hint="eastAsia" w:ascii="仿宋" w:hAnsi="仿宋" w:eastAsia="仿宋" w:cs="仿宋"/>
          <w:color w:val="000000" w:themeColor="text1"/>
          <w:sz w:val="28"/>
          <w:szCs w:val="28"/>
          <w14:textFill>
            <w14:solidFill>
              <w14:schemeClr w14:val="tx1"/>
            </w14:solidFill>
          </w14:textFill>
        </w:rPr>
        <w:t>为该项目成交供应商。现于成交通知书发出之日起</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日内，按照采购文件确定的事项签订本合同。</w:t>
      </w:r>
    </w:p>
    <w:p w14:paraId="5F7E9EB6">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zh-CN"/>
          <w14:textFill>
            <w14:solidFill>
              <w14:schemeClr w14:val="tx1"/>
            </w14:solidFill>
          </w14:textFill>
        </w:rPr>
        <w:t>根据《中华人民共和国民法典》《中华人民共和国政府采购法》等相关法律法规之规定，按照平等、自愿、公平和诚实信用的原则，经</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lang w:val="en-US" w:eastAsia="zh-CN"/>
          <w14:textFill>
            <w14:solidFill>
              <w14:schemeClr w14:val="tx1"/>
            </w14:solidFill>
          </w14:textFill>
        </w:rPr>
        <w:t>西安市渭河生态区保护中心</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lang w:val="zh-CN"/>
          <w14:textFill>
            <w14:solidFill>
              <w14:schemeClr w14:val="tx1"/>
            </w14:solidFill>
          </w14:textFill>
        </w:rPr>
        <w:t>(以下简称：甲方)和</w:t>
      </w:r>
      <w:r>
        <w:rPr>
          <w:rFonts w:hint="eastAsia" w:ascii="仿宋" w:hAnsi="仿宋" w:eastAsia="仿宋" w:cs="仿宋"/>
          <w:color w:val="000000" w:themeColor="text1"/>
          <w:sz w:val="28"/>
          <w:szCs w:val="28"/>
          <w:u w:val="single"/>
          <w14:textFill>
            <w14:solidFill>
              <w14:schemeClr w14:val="tx1"/>
            </w14:solidFill>
          </w14:textFill>
        </w:rPr>
        <w:t xml:space="preserve">   （成交标供应商名称）   </w:t>
      </w:r>
      <w:r>
        <w:rPr>
          <w:rFonts w:hint="eastAsia" w:ascii="仿宋" w:hAnsi="仿宋" w:eastAsia="仿宋" w:cs="仿宋"/>
          <w:color w:val="000000" w:themeColor="text1"/>
          <w:sz w:val="28"/>
          <w:szCs w:val="28"/>
          <w:lang w:val="zh-CN"/>
          <w14:textFill>
            <w14:solidFill>
              <w14:schemeClr w14:val="tx1"/>
            </w14:solidFill>
          </w14:textFill>
        </w:rPr>
        <w:t>(以下简称：乙方)协商一致，约定以下合同</w:t>
      </w:r>
      <w:r>
        <w:rPr>
          <w:rFonts w:hint="eastAsia" w:ascii="仿宋" w:hAnsi="仿宋" w:eastAsia="仿宋" w:cs="仿宋"/>
          <w:color w:val="000000" w:themeColor="text1"/>
          <w:sz w:val="28"/>
          <w:szCs w:val="28"/>
          <w14:textFill>
            <w14:solidFill>
              <w14:schemeClr w14:val="tx1"/>
            </w14:solidFill>
          </w14:textFill>
        </w:rPr>
        <w:t>条款，以兹共同遵守、全面履行。</w:t>
      </w:r>
    </w:p>
    <w:p w14:paraId="4D09C73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1" w:name="_Toc22967"/>
      <w:bookmarkStart w:id="2" w:name="_Toc20421"/>
      <w:bookmarkStart w:id="3" w:name="_Toc15367"/>
      <w:bookmarkStart w:id="4" w:name="_Toc19273"/>
      <w:bookmarkStart w:id="5" w:name="_Toc28855"/>
      <w:r>
        <w:rPr>
          <w:rFonts w:hint="eastAsia" w:ascii="仿宋" w:hAnsi="仿宋" w:eastAsia="仿宋" w:cs="仿宋"/>
          <w:b/>
          <w:bCs w:val="0"/>
          <w:color w:val="000000" w:themeColor="text1"/>
          <w:sz w:val="28"/>
          <w:szCs w:val="28"/>
          <w14:textFill>
            <w14:solidFill>
              <w14:schemeClr w14:val="tx1"/>
            </w14:solidFill>
          </w14:textFill>
        </w:rPr>
        <w:t>1.1 合同组成部分</w:t>
      </w:r>
      <w:bookmarkEnd w:id="1"/>
      <w:bookmarkEnd w:id="2"/>
      <w:bookmarkEnd w:id="3"/>
      <w:bookmarkEnd w:id="4"/>
      <w:bookmarkEnd w:id="5"/>
    </w:p>
    <w:p w14:paraId="0F14426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451F84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1.1.1 本合同及其补充合同、变更协议；</w:t>
      </w:r>
    </w:p>
    <w:p w14:paraId="3BEFF9C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1.1.2 中标或者成交通知书；</w:t>
      </w:r>
    </w:p>
    <w:p w14:paraId="44FF3EC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1.1.3 投标或者响应文件（含澄清或者说明文件）；</w:t>
      </w:r>
    </w:p>
    <w:p w14:paraId="2E180BC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1.1.4 采购文件（含澄清或者修改文件）；</w:t>
      </w:r>
    </w:p>
    <w:p w14:paraId="53256F4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1.1.5 其他相关采购文件。</w:t>
      </w:r>
    </w:p>
    <w:p w14:paraId="60582DB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 w:name="_Toc6773"/>
      <w:bookmarkStart w:id="7" w:name="_Toc6311"/>
      <w:bookmarkStart w:id="8" w:name="_Toc2918"/>
      <w:bookmarkStart w:id="9" w:name="_Toc22185"/>
      <w:bookmarkStart w:id="10" w:name="_Toc18585"/>
      <w:r>
        <w:rPr>
          <w:rFonts w:hint="eastAsia" w:ascii="仿宋" w:hAnsi="仿宋" w:eastAsia="仿宋" w:cs="仿宋"/>
          <w:b/>
          <w:bCs w:val="0"/>
          <w:color w:val="000000" w:themeColor="text1"/>
          <w:sz w:val="28"/>
          <w:szCs w:val="28"/>
          <w14:textFill>
            <w14:solidFill>
              <w14:schemeClr w14:val="tx1"/>
            </w14:solidFill>
          </w14:textFill>
        </w:rPr>
        <w:t>1.2 标的</w:t>
      </w:r>
      <w:bookmarkEnd w:id="6"/>
      <w:bookmarkEnd w:id="7"/>
      <w:bookmarkEnd w:id="8"/>
      <w:bookmarkEnd w:id="9"/>
      <w:bookmarkEnd w:id="10"/>
    </w:p>
    <w:p w14:paraId="0AB818E4">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1.2.1 服务内容：</w:t>
      </w:r>
      <w:r>
        <w:rPr>
          <w:rFonts w:hint="eastAsia" w:ascii="仿宋" w:hAnsi="仿宋" w:eastAsia="仿宋" w:cs="仿宋"/>
          <w:b/>
          <w:bCs w:val="0"/>
          <w:color w:val="000000" w:themeColor="text1"/>
          <w:sz w:val="28"/>
          <w:szCs w:val="28"/>
          <w:u w:val="single"/>
          <w14:textFill>
            <w14:solidFill>
              <w14:schemeClr w14:val="tx1"/>
            </w14:solidFill>
          </w14:textFill>
        </w:rPr>
        <w:t xml:space="preserve"> 2026年渭河生态区保护管理堤南水电设施维护主要内容为渭河西安城市段堤南K7+370-K7+600范围内老化给水管网维护更换、破损排水管道维护更换、绿化灌溉管网维护增设、区域供电电缆维护、配电箱维护等内容</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w:t>
      </w:r>
      <w:bookmarkStart w:id="100" w:name="_GoBack"/>
      <w:bookmarkEnd w:id="100"/>
    </w:p>
    <w:p w14:paraId="594CA363">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1.2.2 服务标准：</w:t>
      </w:r>
      <w:r>
        <w:rPr>
          <w:rFonts w:hint="eastAsia" w:ascii="仿宋" w:hAnsi="仿宋" w:eastAsia="仿宋" w:cs="仿宋"/>
          <w:b/>
          <w:bCs w:val="0"/>
          <w:color w:val="000000" w:themeColor="text1"/>
          <w:sz w:val="28"/>
          <w:szCs w:val="28"/>
          <w:u w:val="single"/>
          <w14:textFill>
            <w14:solidFill>
              <w14:schemeClr w14:val="tx1"/>
            </w14:solidFill>
          </w14:textFill>
        </w:rPr>
        <w:t xml:space="preserve"> 严格按国家颁发的管理规范，达到合格标准 </w:t>
      </w:r>
      <w:r>
        <w:rPr>
          <w:rFonts w:hint="eastAsia" w:ascii="仿宋" w:hAnsi="仿宋" w:eastAsia="仿宋" w:cs="仿宋"/>
          <w:b/>
          <w:bCs w:val="0"/>
          <w:color w:val="000000" w:themeColor="text1"/>
          <w:sz w:val="28"/>
          <w:szCs w:val="28"/>
          <w14:textFill>
            <w14:solidFill>
              <w14:schemeClr w14:val="tx1"/>
            </w14:solidFill>
          </w14:textFill>
        </w:rPr>
        <w:t>；</w:t>
      </w:r>
    </w:p>
    <w:p w14:paraId="0A1C822C">
      <w:pPr>
        <w:spacing w:line="360" w:lineRule="auto"/>
        <w:ind w:firstLine="562" w:firstLineChars="200"/>
        <w:rPr>
          <w:rFonts w:hint="eastAsia" w:ascii="仿宋" w:hAnsi="仿宋" w:eastAsia="仿宋" w:cs="仿宋"/>
          <w:b/>
          <w:bCs w:val="0"/>
          <w:color w:val="000000" w:themeColor="text1"/>
          <w:sz w:val="28"/>
          <w:szCs w:val="28"/>
          <w:highlight w:val="none"/>
          <w:u w:val="singl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1.2.3 技术保障：</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u w:val="none"/>
          <w14:textFill>
            <w14:solidFill>
              <w14:schemeClr w14:val="tx1"/>
            </w14:solidFill>
          </w14:textFill>
        </w:rPr>
        <w:t>；</w:t>
      </w:r>
    </w:p>
    <w:p w14:paraId="60DF9070">
      <w:pPr>
        <w:spacing w:line="360" w:lineRule="auto"/>
        <w:ind w:firstLine="562" w:firstLineChars="200"/>
        <w:jc w:val="left"/>
        <w:rPr>
          <w:rFonts w:hint="eastAsia" w:ascii="仿宋" w:hAnsi="仿宋" w:eastAsia="仿宋" w:cs="仿宋"/>
          <w:b/>
          <w:bCs w:val="0"/>
          <w:color w:val="000000" w:themeColor="text1"/>
          <w:sz w:val="28"/>
          <w:szCs w:val="28"/>
          <w:highlight w:val="non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1.2.4 服务人员组成：</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14:textFill>
            <w14:solidFill>
              <w14:schemeClr w14:val="tx1"/>
            </w14:solidFill>
          </w14:textFill>
        </w:rPr>
        <w:t>；</w:t>
      </w:r>
    </w:p>
    <w:p w14:paraId="0779C6DE">
      <w:pPr>
        <w:spacing w:line="360" w:lineRule="auto"/>
        <w:ind w:firstLine="562" w:firstLineChars="200"/>
        <w:rPr>
          <w:rFonts w:hint="eastAsia" w:ascii="仿宋" w:hAnsi="仿宋" w:eastAsia="仿宋" w:cs="仿宋"/>
          <w:b/>
          <w:bCs w:val="0"/>
          <w:color w:val="000000" w:themeColor="text1"/>
          <w:sz w:val="28"/>
          <w:szCs w:val="28"/>
          <w:highlight w:val="none"/>
          <w:u w:val="singl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1.2.5合同</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u w:val="single"/>
          <w:lang w:val="en-US" w:eastAsia="zh-CN"/>
          <w14:textFill>
            <w14:solidFill>
              <w14:schemeClr w14:val="tx1"/>
            </w14:solidFill>
          </w14:textFill>
        </w:rPr>
        <w:t>否</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14:textFill>
            <w14:solidFill>
              <w14:schemeClr w14:val="tx1"/>
            </w14:solidFill>
          </w14:textFill>
        </w:rPr>
        <w:t>（是/否）涉及货物。</w:t>
      </w:r>
      <w:bookmarkStart w:id="11" w:name="_Toc21124"/>
      <w:bookmarkStart w:id="12" w:name="_Toc5635"/>
      <w:bookmarkStart w:id="13" w:name="_Toc13918"/>
      <w:bookmarkStart w:id="14" w:name="_Toc4929"/>
      <w:bookmarkStart w:id="15" w:name="_Toc1386"/>
    </w:p>
    <w:p w14:paraId="581DBA8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1.3 价款</w:t>
      </w:r>
      <w:bookmarkEnd w:id="11"/>
      <w:bookmarkEnd w:id="12"/>
      <w:bookmarkEnd w:id="13"/>
      <w:bookmarkEnd w:id="14"/>
      <w:bookmarkEnd w:id="15"/>
    </w:p>
    <w:p w14:paraId="6359433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本项目采用总价合同，本合同总价（含税）为：￥</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元（大写：</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元人民币）。</w:t>
      </w:r>
      <w:r>
        <w:rPr>
          <w:rFonts w:hint="eastAsia" w:ascii="仿宋" w:hAnsi="仿宋" w:eastAsia="仿宋" w:cs="仿宋"/>
          <w:b/>
          <w:bCs w:val="0"/>
          <w:color w:val="000000" w:themeColor="text1"/>
          <w:sz w:val="28"/>
          <w:szCs w:val="28"/>
          <w:lang w:val="en-US" w:eastAsia="zh-CN"/>
          <w14:textFill>
            <w14:solidFill>
              <w14:schemeClr w14:val="tx1"/>
            </w14:solidFill>
          </w14:textFill>
        </w:rPr>
        <w:t>合同总价包死，不受市场价变化的影响，</w:t>
      </w:r>
      <w:r>
        <w:rPr>
          <w:rFonts w:hint="eastAsia" w:ascii="仿宋" w:hAnsi="仿宋" w:eastAsia="仿宋" w:cs="仿宋"/>
          <w:b/>
          <w:bCs w:val="0"/>
          <w:color w:val="000000" w:themeColor="text1"/>
          <w:sz w:val="28"/>
          <w:szCs w:val="28"/>
          <w14:textFill>
            <w14:solidFill>
              <w14:schemeClr w14:val="tx1"/>
            </w14:solidFill>
          </w14:textFill>
        </w:rPr>
        <w:t>甲方无须另向乙方支付本合同规定之外的其他任何费用。合同价款包括：本项目所需的一切费用，包括完成项目所需的人工费、设备费、材料费、管理费、验收费、招标代理服务费、利润和税金等全部费用。合同总价款合同期内不做调整</w:t>
      </w:r>
      <w:r>
        <w:rPr>
          <w:rFonts w:hint="eastAsia" w:ascii="仿宋" w:hAnsi="仿宋" w:eastAsia="仿宋" w:cs="仿宋"/>
          <w:b/>
          <w:bCs w:val="0"/>
          <w:color w:val="000000" w:themeColor="text1"/>
          <w:sz w:val="28"/>
          <w:szCs w:val="28"/>
          <w:lang w:eastAsia="zh-CN"/>
          <w14:textFill>
            <w14:solidFill>
              <w14:schemeClr w14:val="tx1"/>
            </w14:solidFill>
          </w14:textFill>
        </w:rPr>
        <w:t>，</w:t>
      </w:r>
      <w:r>
        <w:rPr>
          <w:rFonts w:hint="eastAsia" w:ascii="仿宋" w:hAnsi="仿宋" w:eastAsia="仿宋" w:cs="仿宋"/>
          <w:b/>
          <w:bCs w:val="0"/>
          <w:color w:val="000000" w:themeColor="text1"/>
          <w:sz w:val="28"/>
          <w:szCs w:val="28"/>
          <w14:textFill>
            <w14:solidFill>
              <w14:schemeClr w14:val="tx1"/>
            </w14:solidFill>
          </w14:textFill>
        </w:rPr>
        <w:t>乙方不得索要合同总金额之外费用，否则视为违约，一切经济及法律责任由乙方承担。</w:t>
      </w:r>
    </w:p>
    <w:p w14:paraId="64BA6DDD">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31A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17AA0B9">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序号</w:t>
            </w:r>
          </w:p>
        </w:tc>
        <w:tc>
          <w:tcPr>
            <w:tcW w:w="3402" w:type="dxa"/>
            <w:vAlign w:val="center"/>
          </w:tcPr>
          <w:p w14:paraId="78864239">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分项名称</w:t>
            </w:r>
          </w:p>
        </w:tc>
        <w:tc>
          <w:tcPr>
            <w:tcW w:w="2552" w:type="dxa"/>
            <w:vAlign w:val="center"/>
          </w:tcPr>
          <w:p w14:paraId="5D3F216E">
            <w:pPr>
              <w:pStyle w:val="9"/>
              <w:spacing w:line="360" w:lineRule="auto"/>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分项价格</w:t>
            </w:r>
          </w:p>
        </w:tc>
      </w:tr>
      <w:tr w14:paraId="56D8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EBFA7B4">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32035D4E">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59EC3A7D">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3651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A89BE3F">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059072B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45B1F21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0341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1CA4A4A">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333F1FD2">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68200063">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2060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745D129">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3402" w:type="dxa"/>
            <w:vAlign w:val="center"/>
          </w:tcPr>
          <w:p w14:paraId="7508772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c>
          <w:tcPr>
            <w:tcW w:w="2552" w:type="dxa"/>
            <w:vAlign w:val="center"/>
          </w:tcPr>
          <w:p w14:paraId="6F4D801E">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r w14:paraId="0F81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79F1BFE5">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总价</w:t>
            </w:r>
          </w:p>
        </w:tc>
        <w:tc>
          <w:tcPr>
            <w:tcW w:w="2552" w:type="dxa"/>
            <w:vAlign w:val="center"/>
          </w:tcPr>
          <w:p w14:paraId="2984EF3D">
            <w:pPr>
              <w:pStyle w:val="9"/>
              <w:spacing w:line="360" w:lineRule="auto"/>
              <w:ind w:firstLine="200"/>
              <w:jc w:val="center"/>
              <w:rPr>
                <w:rFonts w:hint="eastAsia" w:ascii="仿宋" w:hAnsi="仿宋" w:eastAsia="仿宋" w:cs="仿宋"/>
                <w:b/>
                <w:bCs w:val="0"/>
                <w:color w:val="000000" w:themeColor="text1"/>
                <w:sz w:val="28"/>
                <w:szCs w:val="28"/>
                <w14:textFill>
                  <w14:solidFill>
                    <w14:schemeClr w14:val="tx1"/>
                  </w14:solidFill>
                </w14:textFill>
              </w:rPr>
            </w:pPr>
          </w:p>
        </w:tc>
      </w:tr>
    </w:tbl>
    <w:p w14:paraId="1EF43D20">
      <w:pPr>
        <w:pStyle w:val="8"/>
        <w:spacing w:before="0" w:beforeAutospacing="0" w:after="0" w:afterAutospacing="0" w:line="360" w:lineRule="auto"/>
        <w:ind w:firstLine="480"/>
        <w:rPr>
          <w:rFonts w:hint="default" w:ascii="仿宋" w:hAnsi="仿宋" w:eastAsia="仿宋" w:cs="仿宋"/>
          <w:b/>
          <w:color w:val="auto"/>
          <w:sz w:val="28"/>
          <w:szCs w:val="28"/>
          <w:lang w:val="en-US" w:eastAsia="zh-CN"/>
        </w:rPr>
      </w:pPr>
      <w:bookmarkStart w:id="16" w:name="_Toc22618"/>
      <w:bookmarkStart w:id="17" w:name="_Toc1814"/>
      <w:bookmarkStart w:id="18" w:name="_Toc10340"/>
      <w:bookmarkStart w:id="19" w:name="_Toc31421"/>
      <w:bookmarkStart w:id="20" w:name="_Toc4760"/>
      <w:bookmarkStart w:id="21" w:name="_Toc11108"/>
      <w:bookmarkStart w:id="22" w:name="_Toc8772"/>
      <w:bookmarkStart w:id="23" w:name="_Toc3625"/>
      <w:r>
        <w:rPr>
          <w:rFonts w:hint="eastAsia" w:ascii="仿宋" w:hAnsi="仿宋" w:eastAsia="仿宋" w:cs="仿宋"/>
          <w:b/>
          <w:color w:val="auto"/>
          <w:sz w:val="28"/>
          <w:szCs w:val="28"/>
        </w:rPr>
        <w:t>1.4履约保证金</w:t>
      </w:r>
      <w:r>
        <w:rPr>
          <w:rFonts w:hint="eastAsia" w:ascii="仿宋" w:hAnsi="仿宋" w:eastAsia="仿宋" w:cs="仿宋"/>
          <w:b/>
          <w:color w:val="auto"/>
          <w:sz w:val="28"/>
          <w:szCs w:val="28"/>
          <w:lang w:eastAsia="zh-CN"/>
        </w:rPr>
        <w:t>：</w:t>
      </w:r>
      <w:r>
        <w:rPr>
          <w:rFonts w:hint="eastAsia" w:ascii="仿宋" w:hAnsi="仿宋" w:eastAsia="仿宋" w:cs="仿宋"/>
          <w:b/>
          <w:color w:val="auto"/>
          <w:sz w:val="28"/>
          <w:szCs w:val="28"/>
          <w:lang w:val="en-US" w:eastAsia="zh-CN"/>
        </w:rPr>
        <w:t>本项目不收取履约保证金。</w:t>
      </w:r>
    </w:p>
    <w:p w14:paraId="3A78A8A3">
      <w:pPr>
        <w:spacing w:line="360" w:lineRule="auto"/>
        <w:ind w:firstLine="562" w:firstLineChars="200"/>
        <w:rPr>
          <w:rFonts w:hint="eastAsia" w:ascii="仿宋" w:hAnsi="仿宋" w:eastAsia="仿宋" w:cs="仿宋"/>
          <w:b/>
          <w:color w:val="000000" w:themeColor="text1"/>
          <w:sz w:val="28"/>
          <w:szCs w:val="28"/>
          <w:lang w:eastAsia="zh-CN"/>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1.5</w:t>
      </w:r>
      <w:bookmarkEnd w:id="16"/>
      <w:bookmarkEnd w:id="17"/>
      <w:bookmarkEnd w:id="18"/>
      <w:r>
        <w:rPr>
          <w:rFonts w:hint="eastAsia" w:ascii="仿宋" w:hAnsi="仿宋" w:eastAsia="仿宋" w:cs="仿宋"/>
          <w:b/>
          <w:color w:val="000000" w:themeColor="text1"/>
          <w:sz w:val="28"/>
          <w:szCs w:val="28"/>
          <w14:textFill>
            <w14:solidFill>
              <w14:schemeClr w14:val="tx1"/>
            </w14:solidFill>
          </w14:textFill>
        </w:rPr>
        <w:t>预付款</w:t>
      </w:r>
    </w:p>
    <w:p w14:paraId="6EC6D8C9">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lang w:val="en-US" w:eastAsia="zh-CN"/>
          <w14:textFill>
            <w14:solidFill>
              <w14:schemeClr w14:val="tx1"/>
            </w14:solidFill>
          </w14:textFill>
        </w:rPr>
        <w:t>是</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（是/否）需要支付预付款。</w:t>
      </w:r>
    </w:p>
    <w:p w14:paraId="1D88ED94">
      <w:pPr>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1.5.1预付款比例、支付方式、时间详见</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kern w:val="0"/>
          <w:sz w:val="28"/>
          <w:szCs w:val="28"/>
          <w:u w:val="single"/>
          <w14:textFill>
            <w14:solidFill>
              <w14:schemeClr w14:val="tx1"/>
            </w14:solidFill>
          </w14:textFill>
        </w:rPr>
        <w:t xml:space="preserve">           </w:t>
      </w:r>
      <w:r>
        <w:rPr>
          <w:rFonts w:hint="eastAsia" w:ascii="仿宋" w:hAnsi="仿宋" w:eastAsia="仿宋" w:cs="仿宋"/>
          <w:color w:val="000000" w:themeColor="text1"/>
          <w:kern w:val="0"/>
          <w:sz w:val="28"/>
          <w:szCs w:val="28"/>
          <w14:textFill>
            <w14:solidFill>
              <w14:schemeClr w14:val="tx1"/>
            </w14:solidFill>
          </w14:textFill>
        </w:rPr>
        <w:t>；</w:t>
      </w:r>
    </w:p>
    <w:p w14:paraId="73DD3DE4">
      <w:pPr>
        <w:pStyle w:val="8"/>
        <w:spacing w:before="0" w:beforeAutospacing="0" w:after="0" w:afterAutospacing="0" w:line="360" w:lineRule="auto"/>
        <w:ind w:firstLine="48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1.5.2预付款的扣回方式详见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02816468">
      <w:pPr>
        <w:pStyle w:val="8"/>
        <w:spacing w:before="0" w:beforeAutospacing="0" w:after="0" w:afterAutospacing="0" w:line="360" w:lineRule="auto"/>
        <w:ind w:firstLine="480"/>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1.5.3预付款的担保措施详见</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14:paraId="3C53E7C5">
      <w:pPr>
        <w:pStyle w:val="8"/>
        <w:spacing w:before="0" w:beforeAutospacing="0" w:after="0" w:afterAutospacing="0" w:line="360" w:lineRule="auto"/>
        <w:ind w:firstLine="48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1.6资金支付</w:t>
      </w:r>
    </w:p>
    <w:p w14:paraId="5AE77691">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1.6.</w:t>
      </w:r>
      <w:r>
        <w:rPr>
          <w:rFonts w:hint="eastAsia" w:ascii="仿宋" w:hAnsi="仿宋" w:eastAsia="仿宋" w:cs="仿宋"/>
          <w:b/>
          <w:bCs/>
          <w:color w:val="000000" w:themeColor="text1"/>
          <w:sz w:val="28"/>
          <w:szCs w:val="28"/>
          <w14:textFill>
            <w14:solidFill>
              <w14:schemeClr w14:val="tx1"/>
            </w14:solidFill>
          </w14:textFill>
        </w:rPr>
        <w:t>1本合同签订生效后，乙方在</w:t>
      </w:r>
      <w:r>
        <w:rPr>
          <w:rFonts w:hint="eastAsia" w:ascii="仿宋" w:hAnsi="仿宋" w:eastAsia="仿宋" w:cs="仿宋"/>
          <w:b/>
          <w:bCs/>
          <w:color w:val="000000" w:themeColor="text1"/>
          <w:sz w:val="28"/>
          <w:szCs w:val="28"/>
          <w:lang w:val="en-US" w:eastAsia="zh-CN"/>
          <w14:textFill>
            <w14:solidFill>
              <w14:schemeClr w14:val="tx1"/>
            </w14:solidFill>
          </w14:textFill>
        </w:rPr>
        <w:t>30日</w:t>
      </w:r>
      <w:r>
        <w:rPr>
          <w:rFonts w:hint="eastAsia" w:ascii="仿宋" w:hAnsi="仿宋" w:eastAsia="仿宋" w:cs="仿宋"/>
          <w:b/>
          <w:bCs/>
          <w:color w:val="000000" w:themeColor="text1"/>
          <w:sz w:val="28"/>
          <w:szCs w:val="28"/>
          <w14:textFill>
            <w14:solidFill>
              <w14:schemeClr w14:val="tx1"/>
            </w14:solidFill>
          </w14:textFill>
        </w:rPr>
        <w:t>内按要求完成项目所有内容。</w:t>
      </w:r>
    </w:p>
    <w:p w14:paraId="18381E1C">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1.6.</w:t>
      </w:r>
      <w:r>
        <w:rPr>
          <w:rFonts w:hint="eastAsia" w:ascii="仿宋" w:hAnsi="仿宋" w:eastAsia="仿宋" w:cs="仿宋"/>
          <w:b/>
          <w:bCs/>
          <w:color w:val="000000" w:themeColor="text1"/>
          <w:sz w:val="28"/>
          <w:szCs w:val="28"/>
          <w14:textFill>
            <w14:solidFill>
              <w14:schemeClr w14:val="tx1"/>
            </w14:solidFill>
          </w14:textFill>
        </w:rPr>
        <w:t>2本合同签订后</w:t>
      </w:r>
      <w:r>
        <w:rPr>
          <w:rFonts w:hint="eastAsia" w:ascii="仿宋" w:hAnsi="仿宋" w:eastAsia="仿宋" w:cs="仿宋"/>
          <w:b/>
          <w:bCs/>
          <w:color w:val="000000" w:themeColor="text1"/>
          <w:sz w:val="28"/>
          <w:szCs w:val="28"/>
          <w:lang w:eastAsia="zh-CN"/>
          <w14:textFill>
            <w14:solidFill>
              <w14:schemeClr w14:val="tx1"/>
            </w14:solidFill>
          </w14:textFill>
        </w:rPr>
        <w:t>，</w:t>
      </w:r>
      <w:r>
        <w:rPr>
          <w:rFonts w:hint="eastAsia" w:ascii="仿宋" w:hAnsi="仿宋" w:eastAsia="仿宋" w:cs="仿宋"/>
          <w:b/>
          <w:bCs/>
          <w:color w:val="000000" w:themeColor="text1"/>
          <w:sz w:val="28"/>
          <w:szCs w:val="28"/>
          <w:lang w:val="en-US" w:eastAsia="zh-CN"/>
          <w14:textFill>
            <w14:solidFill>
              <w14:schemeClr w14:val="tx1"/>
            </w14:solidFill>
          </w14:textFill>
        </w:rPr>
        <w:t>达到付款条件</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10</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none"/>
          <w:lang w:val="en-US" w:eastAsia="zh-CN"/>
          <w14:textFill>
            <w14:solidFill>
              <w14:schemeClr w14:val="tx1"/>
            </w14:solidFill>
          </w14:textFill>
        </w:rPr>
        <w:t>个工作</w:t>
      </w:r>
      <w:r>
        <w:rPr>
          <w:rFonts w:hint="eastAsia" w:ascii="仿宋" w:hAnsi="仿宋" w:eastAsia="仿宋" w:cs="仿宋"/>
          <w:b/>
          <w:bCs/>
          <w:color w:val="000000" w:themeColor="text1"/>
          <w:sz w:val="28"/>
          <w:szCs w:val="28"/>
          <w:u w:val="none"/>
          <w14:textFill>
            <w14:solidFill>
              <w14:schemeClr w14:val="tx1"/>
            </w14:solidFill>
          </w14:textFill>
        </w:rPr>
        <w:t>日</w:t>
      </w:r>
      <w:r>
        <w:rPr>
          <w:rFonts w:hint="eastAsia" w:ascii="仿宋" w:hAnsi="仿宋" w:eastAsia="仿宋" w:cs="仿宋"/>
          <w:b/>
          <w:bCs/>
          <w:color w:val="000000" w:themeColor="text1"/>
          <w:sz w:val="28"/>
          <w:szCs w:val="28"/>
          <w14:textFill>
            <w14:solidFill>
              <w14:schemeClr w14:val="tx1"/>
            </w14:solidFill>
          </w14:textFill>
        </w:rPr>
        <w:t>内，甲方支付乙方合同金额的</w:t>
      </w:r>
      <w:r>
        <w:rPr>
          <w:rFonts w:hint="eastAsia" w:ascii="仿宋" w:hAnsi="仿宋" w:eastAsia="仿宋" w:cs="仿宋"/>
          <w:b/>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 xml:space="preserve">元整）；（如有相关规定，则从其规定） </w:t>
      </w:r>
    </w:p>
    <w:p w14:paraId="04739202">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1.6.</w:t>
      </w:r>
      <w:r>
        <w:rPr>
          <w:rFonts w:hint="eastAsia" w:ascii="仿宋" w:hAnsi="仿宋" w:eastAsia="仿宋" w:cs="仿宋"/>
          <w:b/>
          <w:bCs/>
          <w:color w:val="000000" w:themeColor="text1"/>
          <w:sz w:val="28"/>
          <w:szCs w:val="28"/>
          <w14:textFill>
            <w14:solidFill>
              <w14:schemeClr w14:val="tx1"/>
            </w14:solidFill>
          </w14:textFill>
        </w:rPr>
        <w:t>3项目完</w:t>
      </w:r>
      <w:r>
        <w:rPr>
          <w:rFonts w:hint="eastAsia" w:ascii="仿宋" w:hAnsi="仿宋" w:eastAsia="仿宋" w:cs="仿宋"/>
          <w:b/>
          <w:bCs/>
          <w:color w:val="000000" w:themeColor="text1"/>
          <w:sz w:val="28"/>
          <w:szCs w:val="28"/>
          <w:lang w:val="en-US" w:eastAsia="zh-CN"/>
          <w14:textFill>
            <w14:solidFill>
              <w14:schemeClr w14:val="tx1"/>
            </w14:solidFill>
          </w14:textFill>
        </w:rPr>
        <w:t>工，甲方出具《履约验收单》</w:t>
      </w:r>
      <w:r>
        <w:rPr>
          <w:rFonts w:hint="eastAsia" w:ascii="仿宋" w:hAnsi="仿宋" w:eastAsia="仿宋" w:cs="仿宋"/>
          <w:b/>
          <w:bCs/>
          <w:color w:val="000000" w:themeColor="text1"/>
          <w:sz w:val="28"/>
          <w:szCs w:val="28"/>
          <w:lang w:eastAsia="zh-CN"/>
          <w14:textFill>
            <w14:solidFill>
              <w14:schemeClr w14:val="tx1"/>
            </w14:solidFill>
          </w14:textFill>
        </w:rPr>
        <w:t>，</w:t>
      </w:r>
      <w:r>
        <w:rPr>
          <w:rFonts w:hint="eastAsia" w:ascii="仿宋" w:hAnsi="仿宋" w:eastAsia="仿宋" w:cs="仿宋"/>
          <w:b/>
          <w:bCs/>
          <w:color w:val="000000" w:themeColor="text1"/>
          <w:sz w:val="28"/>
          <w:szCs w:val="28"/>
          <w:lang w:val="en-US" w:eastAsia="zh-CN"/>
          <w14:textFill>
            <w14:solidFill>
              <w14:schemeClr w14:val="tx1"/>
            </w14:solidFill>
          </w14:textFill>
        </w:rPr>
        <w:t>达到付款条件</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10</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none"/>
          <w:lang w:val="en-US" w:eastAsia="zh-CN"/>
          <w14:textFill>
            <w14:solidFill>
              <w14:schemeClr w14:val="tx1"/>
            </w14:solidFill>
          </w14:textFill>
        </w:rPr>
        <w:t>个工作</w:t>
      </w:r>
      <w:r>
        <w:rPr>
          <w:rFonts w:hint="eastAsia" w:ascii="仿宋" w:hAnsi="仿宋" w:eastAsia="仿宋" w:cs="仿宋"/>
          <w:b/>
          <w:bCs/>
          <w:color w:val="000000" w:themeColor="text1"/>
          <w:sz w:val="28"/>
          <w:szCs w:val="28"/>
          <w:u w:val="none"/>
          <w14:textFill>
            <w14:solidFill>
              <w14:schemeClr w14:val="tx1"/>
            </w14:solidFill>
          </w14:textFill>
        </w:rPr>
        <w:t>日</w:t>
      </w:r>
      <w:r>
        <w:rPr>
          <w:rFonts w:hint="eastAsia" w:ascii="仿宋" w:hAnsi="仿宋" w:eastAsia="仿宋" w:cs="仿宋"/>
          <w:b/>
          <w:bCs/>
          <w:color w:val="000000" w:themeColor="text1"/>
          <w:sz w:val="28"/>
          <w:szCs w:val="28"/>
          <w14:textFill>
            <w14:solidFill>
              <w14:schemeClr w14:val="tx1"/>
            </w14:solidFill>
          </w14:textFill>
        </w:rPr>
        <w:t>内，甲方支付乙方合同金额的</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元（人民币大写</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元整）。</w:t>
      </w:r>
    </w:p>
    <w:p w14:paraId="10D1A125">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1.6.</w:t>
      </w:r>
      <w:r>
        <w:rPr>
          <w:rFonts w:hint="eastAsia" w:ascii="仿宋" w:hAnsi="仿宋" w:eastAsia="仿宋" w:cs="仿宋"/>
          <w:b/>
          <w:bCs/>
          <w:color w:val="000000" w:themeColor="text1"/>
          <w:sz w:val="28"/>
          <w:szCs w:val="28"/>
          <w14:textFill>
            <w14:solidFill>
              <w14:schemeClr w14:val="tx1"/>
            </w14:solidFill>
          </w14:textFill>
        </w:rPr>
        <w:t>4乙方须向甲方出具合法有效完整的完税发票及凭证资料进行支付结算。对于满足合同约定支付条件的，甲方原则上应当自收到发票后10个工作日内将资金支付到合同约定的乙方账户。</w:t>
      </w:r>
    </w:p>
    <w:p w14:paraId="2E3A6B29">
      <w:pPr>
        <w:spacing w:line="360" w:lineRule="auto"/>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1.6.</w:t>
      </w:r>
      <w:r>
        <w:rPr>
          <w:rFonts w:hint="eastAsia" w:ascii="仿宋" w:hAnsi="仿宋" w:eastAsia="仿宋" w:cs="仿宋"/>
          <w:b/>
          <w:bCs/>
          <w:color w:val="000000" w:themeColor="text1"/>
          <w:sz w:val="28"/>
          <w:szCs w:val="28"/>
          <w14:textFill>
            <w14:solidFill>
              <w14:schemeClr w14:val="tx1"/>
            </w14:solidFill>
          </w14:textFill>
        </w:rPr>
        <w:t>5具体支付要符合《西安市财政局关于进一步加强规范政府采购履约验收工作的通知》要求。</w:t>
      </w:r>
    </w:p>
    <w:p w14:paraId="44CB6D64">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1.7 履行期限、地点和方式</w:t>
      </w:r>
      <w:bookmarkEnd w:id="19"/>
      <w:bookmarkEnd w:id="20"/>
      <w:bookmarkEnd w:id="21"/>
      <w:bookmarkEnd w:id="22"/>
      <w:bookmarkEnd w:id="23"/>
    </w:p>
    <w:p w14:paraId="3CED2D42">
      <w:pPr>
        <w:spacing w:line="360" w:lineRule="auto"/>
        <w:ind w:firstLine="562" w:firstLineChars="200"/>
        <w:rPr>
          <w:rFonts w:hint="eastAsia" w:ascii="仿宋" w:hAnsi="仿宋" w:eastAsia="仿宋" w:cs="仿宋"/>
          <w:b/>
          <w:bCs w:val="0"/>
          <w:color w:val="000000" w:themeColor="text1"/>
          <w:sz w:val="28"/>
          <w:szCs w:val="28"/>
          <w:u w:val="single"/>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1.7.1 服务交付（实施）的时间（期限）：</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17B6B6D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1.7.2 服务交付（实施）的地点（地域范围）：</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203F4CF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1.7.3 服务交付（实施）的方式：</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5A909102">
      <w:pPr>
        <w:spacing w:line="360" w:lineRule="auto"/>
        <w:ind w:firstLine="562" w:firstLineChars="200"/>
        <w:rPr>
          <w:rFonts w:hint="eastAsia" w:ascii="仿宋" w:hAnsi="仿宋" w:eastAsia="仿宋" w:cs="仿宋"/>
          <w:b/>
          <w:bCs w:val="0"/>
          <w:color w:val="000000" w:themeColor="text1"/>
          <w:sz w:val="28"/>
          <w:szCs w:val="28"/>
          <w:highlight w:val="none"/>
          <w:u w:val="single"/>
          <w14:textFill>
            <w14:solidFill>
              <w14:schemeClr w14:val="tx1"/>
            </w14:solidFill>
          </w14:textFill>
        </w:rPr>
      </w:pPr>
      <w:bookmarkStart w:id="24" w:name="_Toc5698"/>
      <w:bookmarkStart w:id="25" w:name="_Toc8586"/>
      <w:bookmarkStart w:id="26" w:name="_Toc3079"/>
      <w:bookmarkStart w:id="27" w:name="_Toc2375"/>
      <w:bookmarkStart w:id="28" w:name="_Toc24662"/>
      <w:r>
        <w:rPr>
          <w:rFonts w:hint="eastAsia" w:ascii="仿宋" w:hAnsi="仿宋" w:eastAsia="仿宋" w:cs="仿宋"/>
          <w:b/>
          <w:bCs w:val="0"/>
          <w:color w:val="000000" w:themeColor="text1"/>
          <w:sz w:val="28"/>
          <w:szCs w:val="28"/>
          <w:highlight w:val="none"/>
          <w14:textFill>
            <w14:solidFill>
              <w14:schemeClr w14:val="tx1"/>
            </w14:solidFill>
          </w14:textFill>
        </w:rPr>
        <w:t>1.8违约责任</w:t>
      </w:r>
      <w:bookmarkEnd w:id="24"/>
      <w:bookmarkEnd w:id="25"/>
      <w:bookmarkEnd w:id="26"/>
      <w:bookmarkEnd w:id="27"/>
      <w:bookmarkEnd w:id="28"/>
    </w:p>
    <w:p w14:paraId="4C9B763A">
      <w:pPr>
        <w:spacing w:line="360" w:lineRule="auto"/>
        <w:ind w:firstLine="562" w:firstLineChars="200"/>
        <w:rPr>
          <w:rFonts w:hint="eastAsia" w:ascii="仿宋" w:hAnsi="仿宋" w:eastAsia="仿宋" w:cs="仿宋"/>
          <w:b/>
          <w:bCs w:val="0"/>
          <w:color w:val="000000" w:themeColor="text1"/>
          <w:sz w:val="28"/>
          <w:szCs w:val="28"/>
          <w:highlight w:val="non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1.8.1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u w:val="single"/>
          <w:lang w:val="en-US" w:eastAsia="zh-CN"/>
          <w14:textFill>
            <w14:solidFill>
              <w14:schemeClr w14:val="tx1"/>
            </w14:solidFill>
          </w14:textFill>
        </w:rPr>
        <w:t xml:space="preserve">0.5 </w:t>
      </w:r>
      <w:r>
        <w:rPr>
          <w:rFonts w:hint="eastAsia" w:ascii="仿宋" w:hAnsi="仿宋" w:eastAsia="仿宋" w:cs="仿宋"/>
          <w:b/>
          <w:bCs w:val="0"/>
          <w:color w:val="000000" w:themeColor="text1"/>
          <w:sz w:val="28"/>
          <w:szCs w:val="28"/>
          <w:highlight w:val="none"/>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u w:val="single"/>
          <w:lang w:val="en-US" w:eastAsia="zh-CN"/>
          <w14:textFill>
            <w14:solidFill>
              <w14:schemeClr w14:val="tx1"/>
            </w14:solidFill>
          </w14:textFill>
        </w:rPr>
        <w:t>15</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14:textFill>
            <w14:solidFill>
              <w14:schemeClr w14:val="tx1"/>
            </w14:solidFill>
          </w14:textFill>
        </w:rPr>
        <w:t>%；迟延履行的违约金计算数额达到前述最高限额之日起，甲方有权在要求乙方支付违约金的同时，书面通知乙方解除本合同；</w:t>
      </w:r>
    </w:p>
    <w:p w14:paraId="4CAE6705">
      <w:pPr>
        <w:pStyle w:val="6"/>
        <w:rPr>
          <w:rFonts w:hint="eastAsia" w:ascii="仿宋" w:hAnsi="仿宋" w:eastAsia="仿宋" w:cs="仿宋"/>
          <w:b/>
          <w:bCs w:val="0"/>
          <w:color w:val="000000" w:themeColor="text1"/>
          <w:sz w:val="28"/>
          <w:szCs w:val="28"/>
          <w:highlight w:val="non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1.8.2除不可抗力外，如果甲方没有按照本合同约定的付款方式付款，那么乙方可要求甲方支付违约金，违约金按每迟延付款一日的应付而未付款的</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u w:val="single"/>
          <w:lang w:val="en-US" w:eastAsia="zh-CN"/>
          <w14:textFill>
            <w14:solidFill>
              <w14:schemeClr w14:val="tx1"/>
            </w14:solidFill>
          </w14:textFill>
        </w:rPr>
        <w:t>0.1</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14:textFill>
            <w14:solidFill>
              <w14:schemeClr w14:val="tx1"/>
            </w14:solidFill>
          </w14:textFill>
        </w:rPr>
        <w:t>%计算，最高限额为本合同总价的</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u w:val="single"/>
          <w:lang w:val="en-US" w:eastAsia="zh-CN"/>
          <w14:textFill>
            <w14:solidFill>
              <w14:schemeClr w14:val="tx1"/>
            </w14:solidFill>
          </w14:textFill>
        </w:rPr>
        <w:t>1</w:t>
      </w:r>
      <w:r>
        <w:rPr>
          <w:rFonts w:hint="eastAsia" w:ascii="仿宋" w:hAnsi="仿宋" w:eastAsia="仿宋" w:cs="仿宋"/>
          <w:b/>
          <w:bCs w:val="0"/>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bCs w:val="0"/>
          <w:color w:val="000000" w:themeColor="text1"/>
          <w:sz w:val="28"/>
          <w:szCs w:val="28"/>
          <w:highlight w:val="none"/>
          <w14:textFill>
            <w14:solidFill>
              <w14:schemeClr w14:val="tx1"/>
            </w14:solidFill>
          </w14:textFill>
        </w:rPr>
        <w:t>%；迟延付款的违约金计算数额达到前述最高限额之日起，乙方有权在要求甲方支付违约金的同时，书面通知甲方解除本合同；</w:t>
      </w:r>
    </w:p>
    <w:p w14:paraId="538F1861">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29" w:name="_Toc30329"/>
      <w:bookmarkStart w:id="30" w:name="_Toc9497"/>
      <w:bookmarkStart w:id="31" w:name="_Toc18683"/>
      <w:bookmarkStart w:id="32" w:name="_Toc32454"/>
      <w:bookmarkStart w:id="33" w:name="_Toc26807"/>
      <w:r>
        <w:rPr>
          <w:rFonts w:hint="eastAsia" w:ascii="仿宋" w:hAnsi="仿宋" w:eastAsia="仿宋" w:cs="仿宋"/>
          <w:b/>
          <w:bCs w:val="0"/>
          <w:color w:val="000000" w:themeColor="text1"/>
          <w:sz w:val="28"/>
          <w:szCs w:val="28"/>
          <w14:textFill>
            <w14:solidFill>
              <w14:schemeClr w14:val="tx1"/>
            </w14:solidFill>
          </w14:textFill>
        </w:rPr>
        <w:t>1.8.</w:t>
      </w:r>
      <w:r>
        <w:rPr>
          <w:rFonts w:hint="eastAsia" w:ascii="仿宋" w:hAnsi="仿宋" w:eastAsia="仿宋" w:cs="仿宋"/>
          <w:b/>
          <w:bCs w:val="0"/>
          <w:color w:val="000000" w:themeColor="text1"/>
          <w:sz w:val="28"/>
          <w:szCs w:val="28"/>
          <w:lang w:val="en-US" w:eastAsia="zh-CN"/>
          <w14:textFill>
            <w14:solidFill>
              <w14:schemeClr w14:val="tx1"/>
            </w14:solidFill>
          </w14:textFill>
        </w:rPr>
        <w:t>3</w:t>
      </w:r>
      <w:r>
        <w:rPr>
          <w:rFonts w:hint="eastAsia" w:ascii="仿宋" w:hAnsi="仿宋" w:eastAsia="仿宋" w:cs="仿宋"/>
          <w:b/>
          <w:bCs w:val="0"/>
          <w:color w:val="000000" w:themeColor="text1"/>
          <w:sz w:val="28"/>
          <w:szCs w:val="28"/>
          <w14:textFill>
            <w14:solidFill>
              <w14:schemeClr w14:val="tx1"/>
            </w14:solidFill>
          </w14:textFill>
        </w:rPr>
        <w:t xml:space="preserve">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0A2197D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1.8.</w:t>
      </w:r>
      <w:r>
        <w:rPr>
          <w:rFonts w:hint="eastAsia" w:ascii="仿宋" w:hAnsi="仿宋" w:eastAsia="仿宋" w:cs="仿宋"/>
          <w:b/>
          <w:bCs w:val="0"/>
          <w:color w:val="000000" w:themeColor="text1"/>
          <w:sz w:val="28"/>
          <w:szCs w:val="28"/>
          <w:lang w:val="en-US" w:eastAsia="zh-CN"/>
          <w14:textFill>
            <w14:solidFill>
              <w14:schemeClr w14:val="tx1"/>
            </w14:solidFill>
          </w14:textFill>
        </w:rPr>
        <w:t>4</w:t>
      </w:r>
      <w:r>
        <w:rPr>
          <w:rFonts w:hint="eastAsia" w:ascii="仿宋" w:hAnsi="仿宋" w:eastAsia="仿宋" w:cs="仿宋"/>
          <w:b/>
          <w:bCs w:val="0"/>
          <w:color w:val="000000" w:themeColor="text1"/>
          <w:sz w:val="28"/>
          <w:szCs w:val="28"/>
          <w14:textFill>
            <w14:solidFill>
              <w14:schemeClr w14:val="tx1"/>
            </w14:solidFill>
          </w14:textFill>
        </w:rPr>
        <w:t xml:space="preserve">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6A688FAF">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1.8.</w:t>
      </w:r>
      <w:r>
        <w:rPr>
          <w:rFonts w:hint="eastAsia" w:ascii="仿宋" w:hAnsi="仿宋" w:eastAsia="仿宋" w:cs="仿宋"/>
          <w:b/>
          <w:bCs w:val="0"/>
          <w:color w:val="000000" w:themeColor="text1"/>
          <w:sz w:val="28"/>
          <w:szCs w:val="28"/>
          <w:lang w:val="en-US" w:eastAsia="zh-CN"/>
          <w14:textFill>
            <w14:solidFill>
              <w14:schemeClr w14:val="tx1"/>
            </w14:solidFill>
          </w14:textFill>
        </w:rPr>
        <w:t>5</w:t>
      </w:r>
      <w:r>
        <w:rPr>
          <w:rFonts w:hint="eastAsia" w:ascii="仿宋" w:hAnsi="仿宋" w:eastAsia="仿宋" w:cs="仿宋"/>
          <w:b/>
          <w:bCs w:val="0"/>
          <w:color w:val="000000" w:themeColor="text1"/>
          <w:sz w:val="28"/>
          <w:szCs w:val="28"/>
          <w14:textFill>
            <w14:solidFill>
              <w14:schemeClr w14:val="tx1"/>
            </w14:solidFill>
          </w14:textFill>
        </w:rPr>
        <w:t>如果出现政府采购监督管理部门在处理投诉事项期间，书面通知甲方暂停采购活动的情形，或者询问或质疑事项可能影响中标或者成交结果的，导致甲方中止履行合同的情形，均不视为甲方违约。</w:t>
      </w:r>
    </w:p>
    <w:p w14:paraId="73D5634D">
      <w:pPr>
        <w:spacing w:line="360" w:lineRule="auto"/>
        <w:ind w:right="-420" w:rightChars="-200"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1.8.</w:t>
      </w:r>
      <w:r>
        <w:rPr>
          <w:rFonts w:hint="eastAsia" w:ascii="仿宋" w:hAnsi="仿宋" w:eastAsia="仿宋" w:cs="仿宋"/>
          <w:b/>
          <w:bCs w:val="0"/>
          <w:color w:val="000000" w:themeColor="text1"/>
          <w:sz w:val="28"/>
          <w:szCs w:val="28"/>
          <w:lang w:val="en-US" w:eastAsia="zh-CN"/>
          <w14:textFill>
            <w14:solidFill>
              <w14:schemeClr w14:val="tx1"/>
            </w14:solidFill>
          </w14:textFill>
        </w:rPr>
        <w:t>6</w:t>
      </w:r>
      <w:r>
        <w:rPr>
          <w:rFonts w:hint="eastAsia" w:ascii="仿宋" w:hAnsi="仿宋" w:eastAsia="仿宋" w:cs="仿宋"/>
          <w:b/>
          <w:bCs w:val="0"/>
          <w:color w:val="000000" w:themeColor="text1"/>
          <w:sz w:val="28"/>
          <w:szCs w:val="28"/>
          <w14:textFill>
            <w14:solidFill>
              <w14:schemeClr w14:val="tx1"/>
            </w14:solidFill>
          </w14:textFill>
        </w:rPr>
        <w:t>违约责任</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另有约定的，从其约定。</w:t>
      </w:r>
    </w:p>
    <w:bookmarkEnd w:id="29"/>
    <w:bookmarkEnd w:id="30"/>
    <w:bookmarkEnd w:id="31"/>
    <w:bookmarkEnd w:id="32"/>
    <w:bookmarkEnd w:id="33"/>
    <w:p w14:paraId="4922417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1.9合同争议的解决</w:t>
      </w:r>
    </w:p>
    <w:p w14:paraId="6BABA957">
      <w:pPr>
        <w:spacing w:line="360" w:lineRule="auto"/>
        <w:ind w:left="-61" w:leftChars="-29" w:right="-420" w:rightChars="-200" w:firstLine="281" w:firstLineChars="1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u w:val="single"/>
          <w:lang w:val="en-US" w:eastAsia="zh-CN"/>
          <w14:textFill>
            <w14:solidFill>
              <w14:schemeClr w14:val="tx1"/>
            </w14:solidFill>
          </w14:textFill>
        </w:rPr>
        <w:t>1.9.2</w:t>
      </w:r>
      <w:r>
        <w:rPr>
          <w:rFonts w:hint="eastAsia" w:ascii="仿宋" w:hAnsi="仿宋" w:eastAsia="仿宋" w:cs="仿宋"/>
          <w:b/>
          <w:bCs w:val="0"/>
          <w:color w:val="000000" w:themeColor="text1"/>
          <w:sz w:val="28"/>
          <w:szCs w:val="28"/>
          <w:u w:val="single"/>
          <w14:textFill>
            <w14:solidFill>
              <w14:schemeClr w14:val="tx1"/>
            </w14:solidFill>
          </w14:textFill>
        </w:rPr>
        <w:t xml:space="preserve">  </w:t>
      </w:r>
      <w:r>
        <w:rPr>
          <w:rFonts w:hint="eastAsia" w:ascii="仿宋" w:hAnsi="仿宋" w:eastAsia="仿宋" w:cs="仿宋"/>
          <w:b/>
          <w:bCs w:val="0"/>
          <w:color w:val="000000" w:themeColor="text1"/>
          <w:sz w:val="28"/>
          <w:szCs w:val="28"/>
          <w14:textFill>
            <w14:solidFill>
              <w14:schemeClr w14:val="tx1"/>
            </w14:solidFill>
          </w14:textFill>
        </w:rPr>
        <w:t>条款规定的方式解决：</w:t>
      </w:r>
    </w:p>
    <w:p w14:paraId="58C63DF4">
      <w:pPr>
        <w:spacing w:line="360" w:lineRule="auto"/>
        <w:ind w:firstLine="700" w:firstLineChars="25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1.9.1 将争议提交</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仲裁委员会依申请仲裁时其现行有效的仲裁规则裁决；</w:t>
      </w:r>
    </w:p>
    <w:p w14:paraId="0C3AD237">
      <w:pPr>
        <w:spacing w:line="360" w:lineRule="auto"/>
        <w:ind w:firstLine="703" w:firstLineChars="25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1.9.2 向</w:t>
      </w:r>
      <w:r>
        <w:rPr>
          <w:rFonts w:hint="eastAsia" w:ascii="仿宋" w:hAnsi="仿宋" w:eastAsia="仿宋" w:cs="仿宋"/>
          <w:b/>
          <w:bCs/>
          <w:color w:val="000000" w:themeColor="text1"/>
          <w:sz w:val="28"/>
          <w:szCs w:val="28"/>
          <w:u w:val="single"/>
          <w:lang w:val="en-US" w:eastAsia="zh-CN"/>
          <w14:textFill>
            <w14:solidFill>
              <w14:schemeClr w14:val="tx1"/>
            </w14:solidFill>
          </w14:textFill>
        </w:rPr>
        <w:t>甲方所在地</w:t>
      </w:r>
      <w:r>
        <w:rPr>
          <w:rFonts w:hint="eastAsia" w:ascii="仿宋" w:hAnsi="仿宋" w:eastAsia="仿宋" w:cs="仿宋"/>
          <w:b/>
          <w:bCs/>
          <w:color w:val="000000" w:themeColor="text1"/>
          <w:sz w:val="28"/>
          <w:szCs w:val="28"/>
          <w14:textFill>
            <w14:solidFill>
              <w14:schemeClr w14:val="tx1"/>
            </w14:solidFill>
          </w14:textFill>
        </w:rPr>
        <w:t>人民法院起诉。</w:t>
      </w:r>
    </w:p>
    <w:p w14:paraId="3EEAC57C">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2.0 合同生效</w:t>
      </w:r>
    </w:p>
    <w:p w14:paraId="20B7A42E">
      <w:pPr>
        <w:spacing w:line="360" w:lineRule="auto"/>
        <w:ind w:firstLine="700" w:firstLineChars="25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本合同自双方当事人盖章签字时生效。</w:t>
      </w:r>
    </w:p>
    <w:p w14:paraId="4AE2160F">
      <w:pPr>
        <w:autoSpaceDE w:val="0"/>
        <w:autoSpaceDN w:val="0"/>
        <w:spacing w:line="360" w:lineRule="auto"/>
        <w:rPr>
          <w:rFonts w:hint="eastAsia" w:ascii="仿宋" w:hAnsi="仿宋" w:eastAsia="仿宋" w:cs="仿宋"/>
          <w:color w:val="000000" w:themeColor="text1"/>
          <w:sz w:val="28"/>
          <w:szCs w:val="28"/>
          <w:lang w:val="zh-CN"/>
          <w14:textFill>
            <w14:solidFill>
              <w14:schemeClr w14:val="tx1"/>
            </w14:solidFill>
          </w14:textFill>
        </w:rPr>
      </w:pPr>
    </w:p>
    <w:tbl>
      <w:tblPr>
        <w:tblStyle w:val="4"/>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0"/>
        <w:gridCol w:w="2192"/>
        <w:gridCol w:w="2162"/>
        <w:gridCol w:w="1934"/>
      </w:tblGrid>
      <w:tr w14:paraId="56D8A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561" w:type="pct"/>
            <w:gridSpan w:val="2"/>
            <w:vAlign w:val="center"/>
          </w:tcPr>
          <w:p w14:paraId="2216C752">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甲方（采购人）</w:t>
            </w:r>
          </w:p>
        </w:tc>
        <w:tc>
          <w:tcPr>
            <w:tcW w:w="2438" w:type="pct"/>
            <w:gridSpan w:val="2"/>
            <w:vAlign w:val="center"/>
          </w:tcPr>
          <w:p w14:paraId="501325FE">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乙方（供应商）</w:t>
            </w:r>
          </w:p>
        </w:tc>
      </w:tr>
      <w:tr w14:paraId="01BDC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trPr>
        <w:tc>
          <w:tcPr>
            <w:tcW w:w="1256" w:type="pct"/>
            <w:vAlign w:val="center"/>
          </w:tcPr>
          <w:p w14:paraId="3C858C99">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单位名称</w:t>
            </w:r>
          </w:p>
          <w:p w14:paraId="5AB190F9">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（公章或合同章）</w:t>
            </w:r>
          </w:p>
        </w:tc>
        <w:tc>
          <w:tcPr>
            <w:tcW w:w="1304" w:type="pct"/>
            <w:vAlign w:val="center"/>
          </w:tcPr>
          <w:p w14:paraId="3FDCE7E0">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3EE3C88B">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单位名称</w:t>
            </w:r>
          </w:p>
          <w:p w14:paraId="0989FB12">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（公章或合同章）</w:t>
            </w:r>
          </w:p>
        </w:tc>
        <w:tc>
          <w:tcPr>
            <w:tcW w:w="1151" w:type="pct"/>
            <w:vAlign w:val="center"/>
          </w:tcPr>
          <w:p w14:paraId="0FAB5C55">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638BB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1256" w:type="pct"/>
            <w:vMerge w:val="restart"/>
            <w:vAlign w:val="center"/>
          </w:tcPr>
          <w:p w14:paraId="1325E41D">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w:t>
            </w:r>
          </w:p>
          <w:p w14:paraId="5EF37C7D">
            <w:pPr>
              <w:snapToGrid w:val="0"/>
              <w:spacing w:line="360" w:lineRule="auto"/>
              <w:ind w:firstLine="115" w:firstLineChars="48"/>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或其委托代理人（</w:t>
            </w:r>
            <w:r>
              <w:rPr>
                <w:rFonts w:hint="eastAsia" w:ascii="仿宋" w:hAnsi="仿宋" w:eastAsia="仿宋" w:cs="仿宋"/>
                <w:color w:val="000000" w:themeColor="text1"/>
                <w:sz w:val="24"/>
                <w:szCs w:val="24"/>
                <w:lang w:val="en-US" w:eastAsia="zh-CN"/>
                <w14:textFill>
                  <w14:solidFill>
                    <w14:schemeClr w14:val="tx1"/>
                  </w14:solidFill>
                </w14:textFill>
              </w:rPr>
              <w:t>签字/</w:t>
            </w:r>
            <w:r>
              <w:rPr>
                <w:rFonts w:hint="eastAsia" w:ascii="仿宋" w:hAnsi="仿宋" w:eastAsia="仿宋" w:cs="仿宋"/>
                <w:color w:val="000000" w:themeColor="text1"/>
                <w:sz w:val="24"/>
                <w:szCs w:val="24"/>
                <w14:textFill>
                  <w14:solidFill>
                    <w14:schemeClr w14:val="tx1"/>
                  </w14:solidFill>
                </w14:textFill>
              </w:rPr>
              <w:t>签章）</w:t>
            </w:r>
          </w:p>
        </w:tc>
        <w:tc>
          <w:tcPr>
            <w:tcW w:w="1304" w:type="pct"/>
            <w:vMerge w:val="restart"/>
            <w:vAlign w:val="center"/>
          </w:tcPr>
          <w:p w14:paraId="48C4E2A0">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1DB80467">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w:t>
            </w:r>
          </w:p>
          <w:p w14:paraId="67E525CD">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或其委托代理人（</w:t>
            </w:r>
            <w:r>
              <w:rPr>
                <w:rFonts w:hint="eastAsia" w:ascii="仿宋" w:hAnsi="仿宋" w:eastAsia="仿宋" w:cs="仿宋"/>
                <w:color w:val="000000" w:themeColor="text1"/>
                <w:sz w:val="24"/>
                <w:szCs w:val="24"/>
                <w:lang w:val="en-US" w:eastAsia="zh-CN"/>
                <w14:textFill>
                  <w14:solidFill>
                    <w14:schemeClr w14:val="tx1"/>
                  </w14:solidFill>
                </w14:textFill>
              </w:rPr>
              <w:t>签字/</w:t>
            </w:r>
            <w:r>
              <w:rPr>
                <w:rFonts w:hint="eastAsia" w:ascii="仿宋" w:hAnsi="仿宋" w:eastAsia="仿宋" w:cs="仿宋"/>
                <w:color w:val="000000" w:themeColor="text1"/>
                <w:sz w:val="24"/>
                <w:szCs w:val="24"/>
                <w14:textFill>
                  <w14:solidFill>
                    <w14:schemeClr w14:val="tx1"/>
                  </w14:solidFill>
                </w14:textFill>
              </w:rPr>
              <w:t>签章）</w:t>
            </w:r>
          </w:p>
        </w:tc>
        <w:tc>
          <w:tcPr>
            <w:tcW w:w="1151" w:type="pct"/>
            <w:vAlign w:val="center"/>
          </w:tcPr>
          <w:p w14:paraId="0838AC9F">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16D55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Merge w:val="continue"/>
            <w:vAlign w:val="center"/>
          </w:tcPr>
          <w:p w14:paraId="52B1E4C7">
            <w:pPr>
              <w:widowControl/>
              <w:adjustRightInd/>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04" w:type="pct"/>
            <w:vMerge w:val="continue"/>
            <w:vAlign w:val="center"/>
          </w:tcPr>
          <w:p w14:paraId="724162D9">
            <w:pPr>
              <w:widowControl/>
              <w:adjustRightInd/>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4947D2C5">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拥有者性别</w:t>
            </w:r>
          </w:p>
        </w:tc>
        <w:tc>
          <w:tcPr>
            <w:tcW w:w="1151" w:type="pct"/>
            <w:vAlign w:val="center"/>
          </w:tcPr>
          <w:p w14:paraId="1DB7ED6A">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4478B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5DAAAEE9">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住  所</w:t>
            </w:r>
          </w:p>
        </w:tc>
        <w:tc>
          <w:tcPr>
            <w:tcW w:w="1304" w:type="pct"/>
            <w:vAlign w:val="center"/>
          </w:tcPr>
          <w:p w14:paraId="61C22B1E">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52A8D4E6">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住  所</w:t>
            </w:r>
          </w:p>
        </w:tc>
        <w:tc>
          <w:tcPr>
            <w:tcW w:w="1151" w:type="pct"/>
            <w:vAlign w:val="center"/>
          </w:tcPr>
          <w:p w14:paraId="29170681">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32FA0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7FA39A34">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 系 人</w:t>
            </w:r>
          </w:p>
        </w:tc>
        <w:tc>
          <w:tcPr>
            <w:tcW w:w="1304" w:type="pct"/>
            <w:vAlign w:val="center"/>
          </w:tcPr>
          <w:p w14:paraId="32100A28">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6D47B289">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 系 人</w:t>
            </w:r>
          </w:p>
        </w:tc>
        <w:tc>
          <w:tcPr>
            <w:tcW w:w="1151" w:type="pct"/>
            <w:vAlign w:val="center"/>
          </w:tcPr>
          <w:p w14:paraId="695A290A">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61021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173681A4">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联系电话</w:t>
            </w:r>
          </w:p>
        </w:tc>
        <w:tc>
          <w:tcPr>
            <w:tcW w:w="1304" w:type="pct"/>
            <w:vAlign w:val="center"/>
          </w:tcPr>
          <w:p w14:paraId="2CCCC97B">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76A0937A">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联系电话</w:t>
            </w:r>
          </w:p>
        </w:tc>
        <w:tc>
          <w:tcPr>
            <w:tcW w:w="1151" w:type="pct"/>
            <w:vAlign w:val="center"/>
          </w:tcPr>
          <w:p w14:paraId="54BBAF95">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40452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5D63AA31">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通信地址</w:t>
            </w:r>
          </w:p>
        </w:tc>
        <w:tc>
          <w:tcPr>
            <w:tcW w:w="1304" w:type="pct"/>
            <w:vAlign w:val="center"/>
          </w:tcPr>
          <w:p w14:paraId="33FEA88F">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0B7A886E">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通信地址</w:t>
            </w:r>
          </w:p>
        </w:tc>
        <w:tc>
          <w:tcPr>
            <w:tcW w:w="1151" w:type="pct"/>
            <w:vAlign w:val="center"/>
          </w:tcPr>
          <w:p w14:paraId="4A84E0A4">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19D28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09FD2977">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邮政编码</w:t>
            </w:r>
          </w:p>
        </w:tc>
        <w:tc>
          <w:tcPr>
            <w:tcW w:w="1304" w:type="pct"/>
            <w:vAlign w:val="center"/>
          </w:tcPr>
          <w:p w14:paraId="5001B5AB">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5A07A96B">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邮政编码</w:t>
            </w:r>
          </w:p>
        </w:tc>
        <w:tc>
          <w:tcPr>
            <w:tcW w:w="1151" w:type="pct"/>
            <w:vAlign w:val="center"/>
          </w:tcPr>
          <w:p w14:paraId="1FCF3E78">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50047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17C393A1">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电子邮箱</w:t>
            </w:r>
          </w:p>
        </w:tc>
        <w:tc>
          <w:tcPr>
            <w:tcW w:w="1304" w:type="pct"/>
            <w:vAlign w:val="center"/>
          </w:tcPr>
          <w:p w14:paraId="77C1DBCA">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6E3016B0">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电子邮箱</w:t>
            </w:r>
          </w:p>
        </w:tc>
        <w:tc>
          <w:tcPr>
            <w:tcW w:w="1151" w:type="pct"/>
            <w:vAlign w:val="center"/>
          </w:tcPr>
          <w:p w14:paraId="59650D5A">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56ACB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4D120627">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统一社会信用代码</w:t>
            </w:r>
          </w:p>
        </w:tc>
        <w:tc>
          <w:tcPr>
            <w:tcW w:w="1304" w:type="pct"/>
            <w:vAlign w:val="center"/>
          </w:tcPr>
          <w:p w14:paraId="3F65F335">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23BDF548">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统一社会信用代码</w:t>
            </w:r>
          </w:p>
        </w:tc>
        <w:tc>
          <w:tcPr>
            <w:tcW w:w="1151" w:type="pct"/>
            <w:vAlign w:val="center"/>
          </w:tcPr>
          <w:p w14:paraId="494C2FD1">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77F98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1346FE58">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04" w:type="pct"/>
            <w:vAlign w:val="center"/>
          </w:tcPr>
          <w:p w14:paraId="62290D42">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167C2637">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开户名称</w:t>
            </w:r>
          </w:p>
        </w:tc>
        <w:tc>
          <w:tcPr>
            <w:tcW w:w="1151" w:type="pct"/>
            <w:vAlign w:val="center"/>
          </w:tcPr>
          <w:p w14:paraId="15331590">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6A522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2BEAA26F">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04" w:type="pct"/>
            <w:vAlign w:val="center"/>
          </w:tcPr>
          <w:p w14:paraId="7C0858E8">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184C4AE2">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开户银行</w:t>
            </w:r>
          </w:p>
        </w:tc>
        <w:tc>
          <w:tcPr>
            <w:tcW w:w="1151" w:type="pct"/>
            <w:vAlign w:val="center"/>
          </w:tcPr>
          <w:p w14:paraId="77E4CAC9">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r w14:paraId="0921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256" w:type="pct"/>
            <w:vAlign w:val="center"/>
          </w:tcPr>
          <w:p w14:paraId="4444004B">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04" w:type="pct"/>
            <w:vAlign w:val="center"/>
          </w:tcPr>
          <w:p w14:paraId="137AF068">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287" w:type="pct"/>
            <w:vAlign w:val="center"/>
          </w:tcPr>
          <w:p w14:paraId="0B9E3BCF">
            <w:pPr>
              <w:snapToGrid w:val="0"/>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银行账号</w:t>
            </w:r>
          </w:p>
        </w:tc>
        <w:tc>
          <w:tcPr>
            <w:tcW w:w="1151" w:type="pct"/>
            <w:vAlign w:val="center"/>
          </w:tcPr>
          <w:p w14:paraId="3A03186E">
            <w:pPr>
              <w:snapToGrid w:val="0"/>
              <w:spacing w:line="360" w:lineRule="auto"/>
              <w:jc w:val="center"/>
              <w:rPr>
                <w:rFonts w:hint="eastAsia" w:ascii="仿宋" w:hAnsi="仿宋" w:eastAsia="仿宋" w:cs="仿宋"/>
                <w:color w:val="000000" w:themeColor="text1"/>
                <w:spacing w:val="20"/>
                <w:sz w:val="24"/>
                <w:szCs w:val="24"/>
                <w14:textFill>
                  <w14:solidFill>
                    <w14:schemeClr w14:val="tx1"/>
                  </w14:solidFill>
                </w14:textFill>
              </w:rPr>
            </w:pPr>
          </w:p>
        </w:tc>
      </w:tr>
    </w:tbl>
    <w:p w14:paraId="6FAC1932">
      <w:pPr>
        <w:pStyle w:val="7"/>
        <w:spacing w:after="0"/>
        <w:ind w:left="0" w:leftChars="0" w:firstLine="0" w:firstLineChars="0"/>
        <w:jc w:val="both"/>
        <w:outlineLvl w:val="1"/>
        <w:rPr>
          <w:rFonts w:hint="eastAsia" w:ascii="仿宋" w:hAnsi="仿宋" w:eastAsia="仿宋" w:cs="仿宋"/>
          <w:b/>
          <w:color w:val="000000" w:themeColor="text1"/>
          <w:sz w:val="28"/>
          <w:szCs w:val="28"/>
          <w14:textFill>
            <w14:solidFill>
              <w14:schemeClr w14:val="tx1"/>
            </w14:solidFill>
          </w14:textFill>
        </w:rPr>
      </w:pPr>
    </w:p>
    <w:p w14:paraId="77948857">
      <w:pP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br w:type="page"/>
      </w:r>
    </w:p>
    <w:p w14:paraId="6C37C076">
      <w:pPr>
        <w:pStyle w:val="7"/>
        <w:spacing w:after="0"/>
        <w:ind w:left="0" w:leftChars="0" w:firstLine="0" w:firstLineChars="0"/>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第二节 合同一般条款</w:t>
      </w:r>
    </w:p>
    <w:p w14:paraId="694983C6">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34" w:name="_Toc25079"/>
      <w:bookmarkStart w:id="35" w:name="_Toc31297"/>
      <w:bookmarkStart w:id="36" w:name="_Toc5228"/>
      <w:bookmarkStart w:id="37" w:name="_Toc14021"/>
      <w:bookmarkStart w:id="38" w:name="_Toc19680"/>
    </w:p>
    <w:p w14:paraId="09B914F8">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 定义</w:t>
      </w:r>
      <w:bookmarkEnd w:id="34"/>
      <w:bookmarkEnd w:id="35"/>
      <w:bookmarkEnd w:id="36"/>
      <w:bookmarkEnd w:id="37"/>
      <w:bookmarkEnd w:id="38"/>
    </w:p>
    <w:p w14:paraId="16577725">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本合同中的下列词语应按以下内容进行解释：</w:t>
      </w:r>
    </w:p>
    <w:p w14:paraId="38963950">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 “合同”系指采购人和成交供应商签订的载明双方当事人所达成的协议，并包括所有的附件、附录和构成合同的其他文件。</w:t>
      </w:r>
    </w:p>
    <w:p w14:paraId="1B859618">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2.1.2 “合同价”系指根据合同约定，中标或成交供应商在完全履行合同义务后，采购人应支付给中标或成交供应商的价格。</w:t>
      </w:r>
    </w:p>
    <w:p w14:paraId="69E9E11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2.1.3 “服务”系指中标或成交供应商根据合同约定应向采购人履行的除货物和工程以外的其他政府采购对象，包括采购人自身需要的服务和向社会公众提供的公共服务。</w:t>
      </w:r>
    </w:p>
    <w:p w14:paraId="22AE500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2.1.4 “甲方”系指与中标或成交供应商签署合同的采购人；采购人委托采购代理机构代表其与乙方签订合同的，采购人的授权委托书作为合同附件。</w:t>
      </w:r>
    </w:p>
    <w:p w14:paraId="20A29975">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198FF835">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2.1.6 “现场”系指合同约定提供服务的地点。</w:t>
      </w:r>
    </w:p>
    <w:p w14:paraId="36DE981A">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39" w:name="_Toc3769"/>
      <w:bookmarkStart w:id="40" w:name="_Toc19539"/>
      <w:bookmarkStart w:id="41" w:name="_Toc23289"/>
      <w:bookmarkStart w:id="42" w:name="_Toc16752"/>
      <w:bookmarkStart w:id="43" w:name="_Toc31402"/>
      <w:r>
        <w:rPr>
          <w:rFonts w:hint="eastAsia" w:ascii="仿宋" w:hAnsi="仿宋" w:eastAsia="仿宋" w:cs="仿宋"/>
          <w:b/>
          <w:bCs w:val="0"/>
          <w:color w:val="000000" w:themeColor="text1"/>
          <w:sz w:val="28"/>
          <w:szCs w:val="28"/>
          <w14:textFill>
            <w14:solidFill>
              <w14:schemeClr w14:val="tx1"/>
            </w14:solidFill>
          </w14:textFill>
        </w:rPr>
        <w:t>2.2 技术规范</w:t>
      </w:r>
      <w:bookmarkEnd w:id="39"/>
      <w:bookmarkEnd w:id="40"/>
      <w:bookmarkEnd w:id="41"/>
      <w:bookmarkEnd w:id="42"/>
      <w:bookmarkEnd w:id="43"/>
    </w:p>
    <w:p w14:paraId="530BF1F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05229EF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44" w:name="_Toc13673"/>
      <w:bookmarkStart w:id="45" w:name="_Toc12412"/>
      <w:bookmarkStart w:id="46" w:name="_Toc9161"/>
      <w:bookmarkStart w:id="47" w:name="_Toc4133"/>
      <w:bookmarkStart w:id="48" w:name="_Toc27945"/>
      <w:r>
        <w:rPr>
          <w:rFonts w:hint="eastAsia" w:ascii="仿宋" w:hAnsi="仿宋" w:eastAsia="仿宋" w:cs="仿宋"/>
          <w:b/>
          <w:bCs w:val="0"/>
          <w:color w:val="000000" w:themeColor="text1"/>
          <w:sz w:val="28"/>
          <w:szCs w:val="28"/>
          <w14:textFill>
            <w14:solidFill>
              <w14:schemeClr w14:val="tx1"/>
            </w14:solidFill>
          </w14:textFill>
        </w:rPr>
        <w:t>2.3 知识产权</w:t>
      </w:r>
      <w:bookmarkEnd w:id="44"/>
      <w:bookmarkEnd w:id="45"/>
      <w:bookmarkEnd w:id="46"/>
      <w:bookmarkEnd w:id="47"/>
      <w:bookmarkEnd w:id="48"/>
    </w:p>
    <w:p w14:paraId="35F28D5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3C3E6627">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2.3.2 合同涉及技术成果的归属和收益的分成办法的，详见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41E725A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 履约检查和问题反馈</w:t>
      </w:r>
    </w:p>
    <w:p w14:paraId="214F1C43">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5013137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2.4.2 合同履行期间，甲方有权将履行过程中出现的问题反馈给乙方，双方当事人应以书面形式约定需要完善和改进的内容。</w:t>
      </w:r>
    </w:p>
    <w:p w14:paraId="47BB26B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49" w:name="_Toc26555"/>
      <w:bookmarkStart w:id="50" w:name="_Toc31233"/>
      <w:bookmarkStart w:id="51" w:name="_Toc32670"/>
      <w:bookmarkStart w:id="52" w:name="_Toc22011"/>
      <w:bookmarkStart w:id="53" w:name="_Toc15447"/>
      <w:r>
        <w:rPr>
          <w:rFonts w:hint="eastAsia" w:ascii="仿宋" w:hAnsi="仿宋" w:eastAsia="仿宋" w:cs="仿宋"/>
          <w:b/>
          <w:bCs w:val="0"/>
          <w:color w:val="000000" w:themeColor="text1"/>
          <w:sz w:val="28"/>
          <w:szCs w:val="28"/>
          <w14:textFill>
            <w14:solidFill>
              <w14:schemeClr w14:val="tx1"/>
            </w14:solidFill>
          </w14:textFill>
        </w:rPr>
        <w:t>2.5 结算方式和付款条件</w:t>
      </w:r>
      <w:bookmarkEnd w:id="49"/>
      <w:bookmarkEnd w:id="50"/>
      <w:bookmarkEnd w:id="51"/>
      <w:bookmarkEnd w:id="52"/>
      <w:bookmarkEnd w:id="53"/>
    </w:p>
    <w:p w14:paraId="4C842746">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详见</w:t>
      </w:r>
      <w:r>
        <w:rPr>
          <w:rFonts w:hint="eastAsia" w:ascii="仿宋" w:hAnsi="仿宋" w:eastAsia="仿宋" w:cs="仿宋"/>
          <w:b/>
          <w:bCs w:val="0"/>
          <w:color w:val="000000" w:themeColor="text1"/>
          <w:sz w:val="28"/>
          <w:szCs w:val="28"/>
          <w:u w:val="single"/>
          <w14:textFill>
            <w14:solidFill>
              <w14:schemeClr w14:val="tx1"/>
            </w14:solidFill>
          </w14:textFill>
        </w:rPr>
        <w:t>合同专用条款</w:t>
      </w:r>
      <w:r>
        <w:rPr>
          <w:rFonts w:hint="eastAsia" w:ascii="仿宋" w:hAnsi="仿宋" w:eastAsia="仿宋" w:cs="仿宋"/>
          <w:b/>
          <w:bCs w:val="0"/>
          <w:color w:val="000000" w:themeColor="text1"/>
          <w:sz w:val="28"/>
          <w:szCs w:val="28"/>
          <w14:textFill>
            <w14:solidFill>
              <w14:schemeClr w14:val="tx1"/>
            </w14:solidFill>
          </w14:textFill>
        </w:rPr>
        <w:t>。</w:t>
      </w:r>
    </w:p>
    <w:p w14:paraId="624A4A7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54" w:name="_Toc13154"/>
      <w:bookmarkStart w:id="55" w:name="_Toc18990"/>
      <w:bookmarkStart w:id="56" w:name="_Toc13467"/>
      <w:bookmarkStart w:id="57" w:name="_Toc16163"/>
      <w:bookmarkStart w:id="58" w:name="_Toc30507"/>
      <w:r>
        <w:rPr>
          <w:rFonts w:hint="eastAsia" w:ascii="仿宋" w:hAnsi="仿宋" w:eastAsia="仿宋" w:cs="仿宋"/>
          <w:b/>
          <w:bCs w:val="0"/>
          <w:color w:val="000000" w:themeColor="text1"/>
          <w:sz w:val="28"/>
          <w:szCs w:val="28"/>
          <w14:textFill>
            <w14:solidFill>
              <w14:schemeClr w14:val="tx1"/>
            </w14:solidFill>
          </w14:textFill>
        </w:rPr>
        <w:t>2.6 技术资料和保密义务</w:t>
      </w:r>
      <w:bookmarkEnd w:id="54"/>
      <w:bookmarkEnd w:id="55"/>
      <w:bookmarkEnd w:id="56"/>
      <w:bookmarkEnd w:id="57"/>
      <w:bookmarkEnd w:id="58"/>
    </w:p>
    <w:p w14:paraId="6AB76130">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2.6.1 乙方有权依据合同约定和项目需要，向甲方了解有关情况，调阅有关资料等，甲方应予积极配合；</w:t>
      </w:r>
    </w:p>
    <w:p w14:paraId="0A2BFBC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2.6.2 乙方有义务妥善保管和保护由甲方提供的前款信息和资料等；</w:t>
      </w:r>
    </w:p>
    <w:p w14:paraId="22BC6BFE">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682109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59" w:name="_Toc19069"/>
      <w:r>
        <w:rPr>
          <w:rFonts w:hint="eastAsia" w:ascii="仿宋" w:hAnsi="仿宋" w:eastAsia="仿宋" w:cs="仿宋"/>
          <w:b/>
          <w:bCs w:val="0"/>
          <w:color w:val="000000" w:themeColor="text1"/>
          <w:sz w:val="28"/>
          <w:szCs w:val="28"/>
          <w14:textFill>
            <w14:solidFill>
              <w14:schemeClr w14:val="tx1"/>
            </w14:solidFill>
          </w14:textFill>
        </w:rPr>
        <w:t>2.7 质量保证</w:t>
      </w:r>
      <w:bookmarkEnd w:id="59"/>
    </w:p>
    <w:p w14:paraId="5FBF0E7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2.7.1 乙方应建立和完善履行合同的内部质量保证体系，并提供相关内部规章制度给甲方，以便甲方进行监督检查；</w:t>
      </w:r>
    </w:p>
    <w:p w14:paraId="2F31C99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2.7.2 乙方应保证履行合同的人员数量和素质、软件和硬件设备的配置、场地、环境和设施等满足全面履行合同的要求，并应接受甲方的监督检查。</w:t>
      </w:r>
    </w:p>
    <w:p w14:paraId="0133188C">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0" w:name="_Toc22267"/>
      <w:r>
        <w:rPr>
          <w:rFonts w:hint="eastAsia" w:ascii="仿宋" w:hAnsi="仿宋" w:eastAsia="仿宋" w:cs="仿宋"/>
          <w:b/>
          <w:bCs w:val="0"/>
          <w:color w:val="000000" w:themeColor="text1"/>
          <w:sz w:val="28"/>
          <w:szCs w:val="28"/>
          <w14:textFill>
            <w14:solidFill>
              <w14:schemeClr w14:val="tx1"/>
            </w14:solidFill>
          </w14:textFill>
        </w:rPr>
        <w:t>2.8 延迟履行</w:t>
      </w:r>
      <w:bookmarkEnd w:id="60"/>
    </w:p>
    <w:p w14:paraId="5E8C27E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52739C5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1" w:name="_Toc10611"/>
      <w:r>
        <w:rPr>
          <w:rFonts w:hint="eastAsia" w:ascii="仿宋" w:hAnsi="仿宋" w:eastAsia="仿宋" w:cs="仿宋"/>
          <w:b/>
          <w:bCs w:val="0"/>
          <w:color w:val="000000" w:themeColor="text1"/>
          <w:sz w:val="28"/>
          <w:szCs w:val="28"/>
          <w14:textFill>
            <w14:solidFill>
              <w14:schemeClr w14:val="tx1"/>
            </w14:solidFill>
          </w14:textFill>
        </w:rPr>
        <w:t>2.9 合同变更</w:t>
      </w:r>
      <w:bookmarkEnd w:id="61"/>
    </w:p>
    <w:p w14:paraId="23F26815">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合同继续履行将损害国家利益和社会公共利益的，双方当事人应当以书面形式变更合同。有过错的一方应当承担赔偿责任，双方当事人都有过错的，各自承担相应的责任。</w:t>
      </w:r>
    </w:p>
    <w:p w14:paraId="409CD962">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62" w:name="_Toc10663"/>
      <w:bookmarkStart w:id="63" w:name="_Toc42"/>
      <w:bookmarkStart w:id="64" w:name="_Toc21830"/>
      <w:bookmarkStart w:id="65" w:name="_Toc23368"/>
      <w:bookmarkStart w:id="66" w:name="_Toc26689"/>
      <w:r>
        <w:rPr>
          <w:rFonts w:hint="eastAsia" w:ascii="仿宋" w:hAnsi="仿宋" w:eastAsia="仿宋" w:cs="仿宋"/>
          <w:b/>
          <w:bCs w:val="0"/>
          <w:color w:val="000000" w:themeColor="text1"/>
          <w:sz w:val="28"/>
          <w:szCs w:val="28"/>
          <w14:textFill>
            <w14:solidFill>
              <w14:schemeClr w14:val="tx1"/>
            </w14:solidFill>
          </w14:textFill>
        </w:rPr>
        <w:t>2.10 合同转让和分包</w:t>
      </w:r>
      <w:bookmarkEnd w:id="62"/>
      <w:bookmarkEnd w:id="63"/>
      <w:bookmarkEnd w:id="64"/>
      <w:bookmarkEnd w:id="65"/>
      <w:bookmarkEnd w:id="66"/>
    </w:p>
    <w:p w14:paraId="775899F2">
      <w:pPr>
        <w:spacing w:line="360" w:lineRule="auto"/>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4F99E04">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67" w:name="_Toc26633"/>
      <w:bookmarkStart w:id="68" w:name="_Toc25571"/>
      <w:bookmarkStart w:id="69" w:name="_Toc14371"/>
      <w:bookmarkStart w:id="70" w:name="_Toc32494"/>
      <w:bookmarkStart w:id="71" w:name="_Toc4720"/>
      <w:r>
        <w:rPr>
          <w:rFonts w:hint="eastAsia" w:ascii="仿宋" w:hAnsi="仿宋" w:eastAsia="仿宋" w:cs="仿宋"/>
          <w:b/>
          <w:color w:val="000000" w:themeColor="text1"/>
          <w:sz w:val="28"/>
          <w:szCs w:val="28"/>
          <w14:textFill>
            <w14:solidFill>
              <w14:schemeClr w14:val="tx1"/>
            </w14:solidFill>
          </w14:textFill>
        </w:rPr>
        <w:t>2.11 不可抗力</w:t>
      </w:r>
      <w:bookmarkEnd w:id="67"/>
      <w:bookmarkEnd w:id="68"/>
      <w:bookmarkEnd w:id="69"/>
      <w:bookmarkEnd w:id="70"/>
      <w:bookmarkEnd w:id="71"/>
    </w:p>
    <w:p w14:paraId="3C54660D">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2.11.1如果任何一方遭遇法律规定的不可抗力，致使合同履行受阻时，履行合同的期限应予延长，延长的期限应相当于不可抗力所影响的时间；</w:t>
      </w:r>
    </w:p>
    <w:p w14:paraId="042A1CBE">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2.11.2 因不可抗力致使不能实现合同目的的，当事人可以解除合同；</w:t>
      </w:r>
    </w:p>
    <w:p w14:paraId="02A1A5E0">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 因不可抗力致使合同有变更必要的，双方当事人应在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约定时间内以书面形式变更合同；</w:t>
      </w:r>
    </w:p>
    <w:p w14:paraId="05DA6B22">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2.11.4受不可抗力影响的一方在不可抗力发生后，应在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约定时间内以书面形式通知对方当事人，并在</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约定时间内，将有关部门出具的证明文件送达对方当事人。</w:t>
      </w:r>
    </w:p>
    <w:p w14:paraId="6B563C97">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72" w:name="_Toc3638"/>
      <w:bookmarkStart w:id="73" w:name="_Toc24465"/>
      <w:bookmarkStart w:id="74" w:name="_Toc14115"/>
      <w:bookmarkStart w:id="75" w:name="_Toc25783"/>
      <w:bookmarkStart w:id="76" w:name="_Toc23854"/>
      <w:r>
        <w:rPr>
          <w:rFonts w:hint="eastAsia" w:ascii="仿宋" w:hAnsi="仿宋" w:eastAsia="仿宋" w:cs="仿宋"/>
          <w:b/>
          <w:color w:val="000000" w:themeColor="text1"/>
          <w:sz w:val="28"/>
          <w:szCs w:val="28"/>
          <w14:textFill>
            <w14:solidFill>
              <w14:schemeClr w14:val="tx1"/>
            </w14:solidFill>
          </w14:textFill>
        </w:rPr>
        <w:t>2.12 税费</w:t>
      </w:r>
      <w:bookmarkEnd w:id="72"/>
      <w:bookmarkEnd w:id="73"/>
      <w:bookmarkEnd w:id="74"/>
      <w:bookmarkEnd w:id="75"/>
      <w:bookmarkEnd w:id="76"/>
    </w:p>
    <w:p w14:paraId="032F39E9">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与合同有关的一切税费，均按照中华人民共和国法律的相关规定缴纳。</w:t>
      </w:r>
    </w:p>
    <w:p w14:paraId="69B7B4C9">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77" w:name="_Toc25525"/>
      <w:bookmarkStart w:id="78" w:name="_Toc7315"/>
      <w:bookmarkStart w:id="79" w:name="_Toc14814"/>
      <w:bookmarkStart w:id="80" w:name="_Toc26883"/>
      <w:bookmarkStart w:id="81" w:name="_Toc30105"/>
      <w:r>
        <w:rPr>
          <w:rFonts w:hint="eastAsia" w:ascii="仿宋" w:hAnsi="仿宋" w:eastAsia="仿宋" w:cs="仿宋"/>
          <w:b/>
          <w:color w:val="000000" w:themeColor="text1"/>
          <w:sz w:val="28"/>
          <w:szCs w:val="28"/>
          <w14:textFill>
            <w14:solidFill>
              <w14:schemeClr w14:val="tx1"/>
            </w14:solidFill>
          </w14:textFill>
        </w:rPr>
        <w:t>2.13 乙方破产</w:t>
      </w:r>
      <w:bookmarkEnd w:id="77"/>
      <w:bookmarkEnd w:id="78"/>
      <w:bookmarkEnd w:id="79"/>
      <w:bookmarkEnd w:id="80"/>
      <w:bookmarkEnd w:id="81"/>
    </w:p>
    <w:p w14:paraId="5ECA5417">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2E674F9">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82" w:name="_Toc2016"/>
      <w:bookmarkStart w:id="83" w:name="_Toc23323"/>
      <w:bookmarkStart w:id="84" w:name="_Toc1123"/>
      <w:r>
        <w:rPr>
          <w:rFonts w:hint="eastAsia" w:ascii="仿宋" w:hAnsi="仿宋" w:eastAsia="仿宋" w:cs="仿宋"/>
          <w:b/>
          <w:bCs w:val="0"/>
          <w:color w:val="000000" w:themeColor="text1"/>
          <w:sz w:val="28"/>
          <w:szCs w:val="28"/>
          <w14:textFill>
            <w14:solidFill>
              <w14:schemeClr w14:val="tx1"/>
            </w14:solidFill>
          </w14:textFill>
        </w:rPr>
        <w:t>2.14 合同中止、终止</w:t>
      </w:r>
      <w:bookmarkEnd w:id="82"/>
      <w:bookmarkEnd w:id="83"/>
      <w:bookmarkEnd w:id="84"/>
    </w:p>
    <w:p w14:paraId="4668759D">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2.14.1 双方当事人不得擅自中止或者终止合同；</w:t>
      </w:r>
    </w:p>
    <w:p w14:paraId="587CA41B">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r>
        <w:rPr>
          <w:rFonts w:hint="eastAsia" w:ascii="仿宋" w:hAnsi="仿宋" w:eastAsia="仿宋" w:cs="仿宋"/>
          <w:b/>
          <w:bCs w:val="0"/>
          <w:color w:val="000000" w:themeColor="text1"/>
          <w:sz w:val="28"/>
          <w:szCs w:val="28"/>
          <w14:textFill>
            <w14:solidFill>
              <w14:schemeClr w14:val="tx1"/>
            </w14:solidFill>
          </w14:textFill>
        </w:rPr>
        <w:t>2.14.2合同继续履行将损害国家利益和社会公共利益的，双方当事人应当中止或者终止合同。有过错的一方应当承担赔偿责任，双方当事人都有过错的，各自承担相应的责任。</w:t>
      </w:r>
    </w:p>
    <w:p w14:paraId="2D4570C8">
      <w:pPr>
        <w:spacing w:line="360" w:lineRule="auto"/>
        <w:ind w:firstLine="562" w:firstLineChars="200"/>
        <w:rPr>
          <w:rFonts w:hint="eastAsia" w:ascii="仿宋" w:hAnsi="仿宋" w:eastAsia="仿宋" w:cs="仿宋"/>
          <w:b/>
          <w:bCs w:val="0"/>
          <w:color w:val="000000" w:themeColor="text1"/>
          <w:sz w:val="28"/>
          <w:szCs w:val="28"/>
          <w14:textFill>
            <w14:solidFill>
              <w14:schemeClr w14:val="tx1"/>
            </w14:solidFill>
          </w14:textFill>
        </w:rPr>
      </w:pPr>
      <w:bookmarkStart w:id="85" w:name="_Toc1969"/>
      <w:bookmarkStart w:id="86" w:name="_Toc17363"/>
      <w:bookmarkStart w:id="87" w:name="_Toc14525"/>
      <w:r>
        <w:rPr>
          <w:rFonts w:hint="eastAsia" w:ascii="仿宋" w:hAnsi="仿宋" w:eastAsia="仿宋" w:cs="仿宋"/>
          <w:b/>
          <w:bCs w:val="0"/>
          <w:color w:val="000000" w:themeColor="text1"/>
          <w:sz w:val="28"/>
          <w:szCs w:val="28"/>
          <w14:textFill>
            <w14:solidFill>
              <w14:schemeClr w14:val="tx1"/>
            </w14:solidFill>
          </w14:textFill>
        </w:rPr>
        <w:t>2.15 检验和验收</w:t>
      </w:r>
      <w:bookmarkEnd w:id="85"/>
      <w:bookmarkEnd w:id="86"/>
      <w:bookmarkEnd w:id="87"/>
    </w:p>
    <w:p w14:paraId="252C6756">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highlight w:val="non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2.15.1 乙方按照</w:t>
      </w:r>
      <w:r>
        <w:rPr>
          <w:rFonts w:hint="eastAsia" w:ascii="仿宋" w:hAnsi="仿宋" w:eastAsia="仿宋" w:cs="仿宋"/>
          <w:b/>
          <w:bCs w:val="0"/>
          <w:color w:val="000000" w:themeColor="text1"/>
          <w:sz w:val="28"/>
          <w:szCs w:val="28"/>
          <w:highlight w:val="none"/>
          <w:u w:val="single"/>
          <w14:textFill>
            <w14:solidFill>
              <w14:schemeClr w14:val="tx1"/>
            </w14:solidFill>
          </w14:textFill>
        </w:rPr>
        <w:t>合同专用条款</w:t>
      </w:r>
      <w:r>
        <w:rPr>
          <w:rFonts w:hint="eastAsia" w:ascii="仿宋" w:hAnsi="仿宋" w:eastAsia="仿宋" w:cs="仿宋"/>
          <w:b/>
          <w:bCs w:val="0"/>
          <w:color w:val="000000" w:themeColor="text1"/>
          <w:sz w:val="28"/>
          <w:szCs w:val="28"/>
          <w:highlight w:val="none"/>
          <w14:textFill>
            <w14:solidFill>
              <w14:schemeClr w14:val="tx1"/>
            </w14:solidFill>
          </w14:textFill>
        </w:rPr>
        <w:t>的约定，</w:t>
      </w:r>
      <w:r>
        <w:rPr>
          <w:rFonts w:hint="eastAsia" w:ascii="仿宋" w:hAnsi="仿宋" w:eastAsia="仿宋" w:cs="仿宋"/>
          <w:b/>
          <w:bCs w:val="0"/>
          <w:color w:val="000000" w:themeColor="text1"/>
          <w:sz w:val="28"/>
          <w:szCs w:val="28"/>
          <w:highlight w:val="none"/>
          <w:lang w:val="en-US" w:eastAsia="zh-CN"/>
          <w14:textFill>
            <w14:solidFill>
              <w14:schemeClr w14:val="tx1"/>
            </w14:solidFill>
          </w14:textFill>
        </w:rPr>
        <w:t>按期完工、提交项目资料与验收申请</w:t>
      </w:r>
      <w:r>
        <w:rPr>
          <w:rFonts w:hint="eastAsia" w:ascii="仿宋" w:hAnsi="仿宋" w:eastAsia="仿宋" w:cs="仿宋"/>
          <w:b/>
          <w:bCs w:val="0"/>
          <w:color w:val="000000" w:themeColor="text1"/>
          <w:sz w:val="28"/>
          <w:szCs w:val="28"/>
          <w:highlight w:val="none"/>
          <w14:textFill>
            <w14:solidFill>
              <w14:schemeClr w14:val="tx1"/>
            </w14:solidFill>
          </w14:textFill>
        </w:rPr>
        <w:t>，甲方按照</w:t>
      </w:r>
      <w:r>
        <w:rPr>
          <w:rFonts w:hint="eastAsia" w:ascii="仿宋" w:hAnsi="仿宋" w:eastAsia="仿宋" w:cs="仿宋"/>
          <w:b/>
          <w:bCs w:val="0"/>
          <w:color w:val="000000" w:themeColor="text1"/>
          <w:sz w:val="28"/>
          <w:szCs w:val="28"/>
          <w:highlight w:val="none"/>
          <w:u w:val="single"/>
          <w14:textFill>
            <w14:solidFill>
              <w14:schemeClr w14:val="tx1"/>
            </w14:solidFill>
          </w14:textFill>
        </w:rPr>
        <w:t>合同专用条款</w:t>
      </w:r>
      <w:r>
        <w:rPr>
          <w:rFonts w:hint="eastAsia" w:ascii="仿宋" w:hAnsi="仿宋" w:eastAsia="仿宋" w:cs="仿宋"/>
          <w:b/>
          <w:bCs w:val="0"/>
          <w:color w:val="000000" w:themeColor="text1"/>
          <w:sz w:val="28"/>
          <w:szCs w:val="28"/>
          <w:highlight w:val="none"/>
          <w14:textFill>
            <w14:solidFill>
              <w14:schemeClr w14:val="tx1"/>
            </w14:solidFill>
          </w14:textFill>
        </w:rPr>
        <w:t>的约定进行验收；</w:t>
      </w:r>
    </w:p>
    <w:p w14:paraId="301228AC">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highlight w:val="non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2.15.2 合同期满或者履行完毕后，甲方有权按照合同约定的标准，组织对乙方履约情况的验收，并出具</w:t>
      </w:r>
      <w:r>
        <w:rPr>
          <w:rFonts w:hint="eastAsia" w:ascii="仿宋" w:hAnsi="仿宋" w:eastAsia="仿宋" w:cs="仿宋"/>
          <w:b/>
          <w:bCs w:val="0"/>
          <w:color w:val="000000" w:themeColor="text1"/>
          <w:sz w:val="28"/>
          <w:szCs w:val="28"/>
          <w:highlight w:val="none"/>
          <w:lang w:val="en-US" w:eastAsia="zh-CN"/>
          <w14:textFill>
            <w14:solidFill>
              <w14:schemeClr w14:val="tx1"/>
            </w14:solidFill>
          </w14:textFill>
        </w:rPr>
        <w:t>《履约验收单》</w:t>
      </w:r>
      <w:r>
        <w:rPr>
          <w:rFonts w:hint="eastAsia" w:ascii="仿宋" w:hAnsi="仿宋" w:eastAsia="仿宋" w:cs="仿宋"/>
          <w:b/>
          <w:bCs w:val="0"/>
          <w:color w:val="000000" w:themeColor="text1"/>
          <w:sz w:val="28"/>
          <w:szCs w:val="28"/>
          <w:highlight w:val="none"/>
          <w14:textFill>
            <w14:solidFill>
              <w14:schemeClr w14:val="tx1"/>
            </w14:solidFill>
          </w14:textFill>
        </w:rPr>
        <w:t>；</w:t>
      </w:r>
    </w:p>
    <w:p w14:paraId="50FCC20B">
      <w:pPr>
        <w:tabs>
          <w:tab w:val="left" w:pos="360"/>
          <w:tab w:val="left" w:pos="540"/>
          <w:tab w:val="left" w:pos="1080"/>
        </w:tabs>
        <w:spacing w:line="360" w:lineRule="auto"/>
        <w:ind w:firstLine="562" w:firstLineChars="200"/>
        <w:rPr>
          <w:rFonts w:hint="eastAsia" w:ascii="仿宋" w:hAnsi="仿宋" w:eastAsia="仿宋" w:cs="仿宋"/>
          <w:b/>
          <w:bCs w:val="0"/>
          <w:color w:val="000000" w:themeColor="text1"/>
          <w:sz w:val="28"/>
          <w:szCs w:val="28"/>
          <w:highlight w:val="none"/>
          <w14:textFill>
            <w14:solidFill>
              <w14:schemeClr w14:val="tx1"/>
            </w14:solidFill>
          </w14:textFill>
        </w:rPr>
      </w:pPr>
      <w:r>
        <w:rPr>
          <w:rFonts w:hint="eastAsia" w:ascii="仿宋" w:hAnsi="仿宋" w:eastAsia="仿宋" w:cs="仿宋"/>
          <w:b/>
          <w:bCs w:val="0"/>
          <w:color w:val="000000" w:themeColor="text1"/>
          <w:sz w:val="28"/>
          <w:szCs w:val="28"/>
          <w:highlight w:val="none"/>
          <w14:textFill>
            <w14:solidFill>
              <w14:schemeClr w14:val="tx1"/>
            </w14:solidFill>
          </w14:textFill>
        </w:rPr>
        <w:t>2.15.3 检验和验收标准、程序等具体内容以及前述验收书的效力详见</w:t>
      </w:r>
      <w:r>
        <w:rPr>
          <w:rFonts w:hint="eastAsia" w:ascii="仿宋" w:hAnsi="仿宋" w:eastAsia="仿宋" w:cs="仿宋"/>
          <w:b/>
          <w:bCs w:val="0"/>
          <w:color w:val="000000" w:themeColor="text1"/>
          <w:sz w:val="28"/>
          <w:szCs w:val="28"/>
          <w:highlight w:val="none"/>
          <w:u w:val="single"/>
          <w14:textFill>
            <w14:solidFill>
              <w14:schemeClr w14:val="tx1"/>
            </w14:solidFill>
          </w14:textFill>
        </w:rPr>
        <w:t>合同专用条款</w:t>
      </w:r>
      <w:r>
        <w:rPr>
          <w:rFonts w:hint="eastAsia" w:ascii="仿宋" w:hAnsi="仿宋" w:eastAsia="仿宋" w:cs="仿宋"/>
          <w:b/>
          <w:bCs w:val="0"/>
          <w:color w:val="000000" w:themeColor="text1"/>
          <w:sz w:val="28"/>
          <w:szCs w:val="28"/>
          <w:highlight w:val="none"/>
          <w14:textFill>
            <w14:solidFill>
              <w14:schemeClr w14:val="tx1"/>
            </w14:solidFill>
          </w14:textFill>
        </w:rPr>
        <w:t>。</w:t>
      </w:r>
    </w:p>
    <w:p w14:paraId="64D6FB96">
      <w:pPr>
        <w:spacing w:line="360" w:lineRule="auto"/>
        <w:ind w:firstLine="562" w:firstLineChars="200"/>
        <w:rPr>
          <w:rFonts w:hint="eastAsia" w:ascii="仿宋" w:hAnsi="仿宋" w:eastAsia="仿宋" w:cs="仿宋"/>
          <w:b/>
          <w:color w:val="000000" w:themeColor="text1"/>
          <w:sz w:val="28"/>
          <w:szCs w:val="28"/>
          <w:highlight w:val="none"/>
          <w14:textFill>
            <w14:solidFill>
              <w14:schemeClr w14:val="tx1"/>
            </w14:solidFill>
          </w14:textFill>
        </w:rPr>
      </w:pPr>
      <w:bookmarkStart w:id="88" w:name="_Toc31892"/>
      <w:bookmarkStart w:id="89" w:name="_Toc2308"/>
      <w:bookmarkStart w:id="90" w:name="_Toc12666"/>
      <w:bookmarkStart w:id="91" w:name="_Toc25198"/>
      <w:bookmarkStart w:id="92" w:name="_Toc9808"/>
      <w:r>
        <w:rPr>
          <w:rFonts w:hint="eastAsia" w:ascii="仿宋" w:hAnsi="仿宋" w:eastAsia="仿宋" w:cs="仿宋"/>
          <w:b/>
          <w:color w:val="000000" w:themeColor="text1"/>
          <w:sz w:val="28"/>
          <w:szCs w:val="28"/>
          <w:highlight w:val="none"/>
          <w14:textFill>
            <w14:solidFill>
              <w14:schemeClr w14:val="tx1"/>
            </w14:solidFill>
          </w14:textFill>
        </w:rPr>
        <w:t>2.16 通知和送达</w:t>
      </w:r>
      <w:bookmarkEnd w:id="88"/>
      <w:bookmarkEnd w:id="89"/>
      <w:bookmarkEnd w:id="90"/>
      <w:bookmarkEnd w:id="91"/>
      <w:bookmarkEnd w:id="92"/>
    </w:p>
    <w:p w14:paraId="78FA968A">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bookmarkStart w:id="93" w:name="_Toc18401"/>
      <w:bookmarkStart w:id="94" w:name="_Toc27674"/>
      <w:r>
        <w:rPr>
          <w:rFonts w:hint="eastAsia" w:ascii="仿宋" w:hAnsi="仿宋" w:eastAsia="仿宋" w:cs="仿宋"/>
          <w:color w:val="000000" w:themeColor="text1"/>
          <w:sz w:val="28"/>
          <w:szCs w:val="28"/>
          <w14:textFill>
            <w14:solidFill>
              <w14:schemeClr w14:val="tx1"/>
            </w14:solidFill>
          </w14:textFill>
        </w:rPr>
        <w:t xml:space="preserve">2.17.1任何一方因履行合同而以合同第一部分尾部所列明的传真或电子邮件 </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发出的所有通知、文件、材料，均视为已向对方当事人送达；任何一方变更上述送达方式或者地址的，应于</w:t>
      </w:r>
      <w:r>
        <w:rPr>
          <w:rFonts w:hint="eastAsia" w:ascii="仿宋" w:hAnsi="仿宋" w:eastAsia="仿宋" w:cs="仿宋"/>
          <w:color w:val="000000" w:themeColor="text1"/>
          <w:sz w:val="28"/>
          <w:szCs w:val="28"/>
          <w:u w:val="single"/>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个工作日内书面通知对方当事人，在对方当事人收到有关变更通知之前，变更前的约定送达方式或者地址仍视为有效。</w:t>
      </w:r>
    </w:p>
    <w:p w14:paraId="00404928">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93"/>
      <w:bookmarkEnd w:id="94"/>
    </w:p>
    <w:p w14:paraId="4E449660">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bookmarkStart w:id="95" w:name="_Toc27644"/>
      <w:bookmarkStart w:id="96" w:name="_Toc20808"/>
      <w:bookmarkStart w:id="97" w:name="_Toc28906"/>
      <w:bookmarkStart w:id="98" w:name="_Toc12254"/>
      <w:bookmarkStart w:id="99" w:name="_Toc5063"/>
      <w:r>
        <w:rPr>
          <w:rFonts w:hint="eastAsia" w:ascii="仿宋" w:hAnsi="仿宋" w:eastAsia="仿宋" w:cs="仿宋"/>
          <w:b/>
          <w:color w:val="000000" w:themeColor="text1"/>
          <w:sz w:val="28"/>
          <w:szCs w:val="28"/>
          <w14:textFill>
            <w14:solidFill>
              <w14:schemeClr w14:val="tx1"/>
            </w14:solidFill>
          </w14:textFill>
        </w:rPr>
        <w:t>2.17 合同使用的文字和适用的法律</w:t>
      </w:r>
      <w:bookmarkEnd w:id="95"/>
      <w:bookmarkEnd w:id="96"/>
      <w:bookmarkEnd w:id="97"/>
      <w:bookmarkEnd w:id="98"/>
      <w:bookmarkEnd w:id="99"/>
    </w:p>
    <w:p w14:paraId="58E00A0C">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2.17.1 合同使用汉语书就、变更和解释；</w:t>
      </w:r>
    </w:p>
    <w:p w14:paraId="60E9DEB4">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2.17.2 合同适用中华人民共和国法律。</w:t>
      </w:r>
    </w:p>
    <w:p w14:paraId="7B60FA2A">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2.18 计量单位</w:t>
      </w:r>
    </w:p>
    <w:p w14:paraId="3ED8DFB1">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除技术规范中另有规定外,合同的计量单位均使用国家法定计量单位。</w:t>
      </w:r>
    </w:p>
    <w:p w14:paraId="3C62083B">
      <w:pPr>
        <w:spacing w:line="360" w:lineRule="auto"/>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2.19合同份数</w:t>
      </w:r>
    </w:p>
    <w:p w14:paraId="43AF3E17">
      <w:pPr>
        <w:spacing w:line="36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合同份数按</w:t>
      </w:r>
      <w:r>
        <w:rPr>
          <w:rFonts w:hint="eastAsia" w:ascii="仿宋" w:hAnsi="仿宋" w:eastAsia="仿宋" w:cs="仿宋"/>
          <w:b/>
          <w:color w:val="000000" w:themeColor="text1"/>
          <w:sz w:val="28"/>
          <w:szCs w:val="28"/>
          <w:u w:val="single"/>
          <w14:textFill>
            <w14:solidFill>
              <w14:schemeClr w14:val="tx1"/>
            </w14:solidFill>
          </w14:textFill>
        </w:rPr>
        <w:t>合同专用条款</w:t>
      </w:r>
      <w:r>
        <w:rPr>
          <w:rFonts w:hint="eastAsia" w:ascii="仿宋" w:hAnsi="仿宋" w:eastAsia="仿宋" w:cs="仿宋"/>
          <w:color w:val="000000" w:themeColor="text1"/>
          <w:sz w:val="28"/>
          <w:szCs w:val="28"/>
          <w14:textFill>
            <w14:solidFill>
              <w14:schemeClr w14:val="tx1"/>
            </w14:solidFill>
          </w14:textFill>
        </w:rPr>
        <w:t>规定，每份均具有同等法律效力。</w:t>
      </w:r>
    </w:p>
    <w:p w14:paraId="42E02E61">
      <w:pPr>
        <w:spacing w:line="360" w:lineRule="auto"/>
        <w:jc w:val="center"/>
        <w:outlineLvl w:val="1"/>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br w:type="page"/>
      </w:r>
      <w:r>
        <w:rPr>
          <w:rFonts w:hint="eastAsia" w:ascii="仿宋" w:hAnsi="仿宋" w:eastAsia="仿宋" w:cs="仿宋"/>
          <w:b/>
          <w:color w:val="000000" w:themeColor="text1"/>
          <w:sz w:val="28"/>
          <w:szCs w:val="28"/>
          <w14:textFill>
            <w14:solidFill>
              <w14:schemeClr w14:val="tx1"/>
            </w14:solidFill>
          </w14:textFill>
        </w:rPr>
        <w:t>第三节 合同专用条款</w:t>
      </w:r>
    </w:p>
    <w:p w14:paraId="7DC43108">
      <w:pPr>
        <w:spacing w:line="360" w:lineRule="auto"/>
        <w:ind w:left="-420" w:leftChars="-200" w:right="-420" w:rightChars="-200"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1035"/>
        <w:gridCol w:w="7327"/>
      </w:tblGrid>
      <w:tr w14:paraId="25C76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619" w:type="pct"/>
            <w:tcBorders>
              <w:left w:val="single" w:color="auto" w:sz="4" w:space="0"/>
            </w:tcBorders>
            <w:vAlign w:val="center"/>
          </w:tcPr>
          <w:p w14:paraId="7FB9254F">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条款号</w:t>
            </w:r>
          </w:p>
        </w:tc>
        <w:tc>
          <w:tcPr>
            <w:tcW w:w="4380" w:type="pct"/>
            <w:vAlign w:val="center"/>
          </w:tcPr>
          <w:p w14:paraId="187018A5">
            <w:pPr>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约定内容</w:t>
            </w:r>
          </w:p>
        </w:tc>
      </w:tr>
      <w:tr w14:paraId="7B7785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34D53C16">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1.5.1</w:t>
            </w:r>
          </w:p>
        </w:tc>
        <w:tc>
          <w:tcPr>
            <w:tcW w:w="4380" w:type="pct"/>
            <w:vAlign w:val="center"/>
          </w:tcPr>
          <w:p w14:paraId="670D7661">
            <w:pPr>
              <w:spacing w:line="360" w:lineRule="auto"/>
              <w:ind w:firstLine="560" w:firstLineChars="200"/>
              <w:rPr>
                <w:rFonts w:hint="default" w:ascii="仿宋" w:hAnsi="仿宋" w:eastAsia="仿宋" w:cs="仿宋"/>
                <w:color w:val="000000" w:themeColor="text1"/>
                <w:kern w:val="0"/>
                <w:sz w:val="28"/>
                <w:szCs w:val="28"/>
                <w:highlight w:val="green"/>
                <w:lang w:val="en-US" w:eastAsia="zh-CN" w:bidi="ar-SA"/>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根据陕财办采〔2022〕5号《陕西省财政厅关于进一步加大政府采购支持中小企业力度的通知》，授予中小企业政府采购合同预付款比例不得低于合同价款的40%。本项目预付款比例、支付方式、时间：双方签订合同后，乙方开具相应增值税普通发票，甲方收到发票后，于10个工作日内支付合同总价款的50%作为预付款，用于材料采购；全部服务内容完成且甲方出具书面《履约验收单》后，乙方开具增值税普通发票，甲方支付剩余50%合同款。支付方式为银行转账。</w:t>
            </w:r>
          </w:p>
        </w:tc>
      </w:tr>
      <w:tr w14:paraId="25798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8597885">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1.5.2</w:t>
            </w:r>
          </w:p>
        </w:tc>
        <w:tc>
          <w:tcPr>
            <w:tcW w:w="4380" w:type="pct"/>
            <w:vAlign w:val="center"/>
          </w:tcPr>
          <w:p w14:paraId="04DE9312">
            <w:pPr>
              <w:pStyle w:val="8"/>
              <w:spacing w:before="0" w:beforeAutospacing="0" w:after="0" w:afterAutospacing="0" w:line="360" w:lineRule="auto"/>
              <w:ind w:firstLine="480"/>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预付款的扣回方式：本项目预付款不采用按进度分期扣回的方式。若最终验收结论为不合格，或乙方出现根本性违约导致合同提前解除的，甲方有权要求乙方在收到甲方书面通知后</w:t>
            </w:r>
            <w:r>
              <w:rPr>
                <w:rFonts w:hint="default" w:ascii="仿宋" w:hAnsi="仿宋" w:eastAsia="仿宋" w:cs="仿宋"/>
                <w:color w:val="000000" w:themeColor="text1"/>
                <w:kern w:val="0"/>
                <w:sz w:val="28"/>
                <w:szCs w:val="28"/>
                <w:highlight w:val="none"/>
                <w:lang w:val="en-US" w:eastAsia="zh-CN" w:bidi="ar-SA"/>
                <w14:textFill>
                  <w14:solidFill>
                    <w14:schemeClr w14:val="tx1"/>
                  </w14:solidFill>
                </w14:textFill>
              </w:rPr>
              <w:t>10个工作日内，全额返还甲方已支付的预付款（即合同总价款的50%），并按合同总价款的10%支付违约金。甲方有权从应付乙方的任何款项中直接抵扣上述应返还的预付款及违约金，不足部分甲方保留继续追偿的权利。</w:t>
            </w:r>
          </w:p>
        </w:tc>
      </w:tr>
      <w:tr w14:paraId="64DD2F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D529212">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1.5.3</w:t>
            </w:r>
          </w:p>
        </w:tc>
        <w:tc>
          <w:tcPr>
            <w:tcW w:w="4380" w:type="pct"/>
            <w:vAlign w:val="center"/>
          </w:tcPr>
          <w:p w14:paraId="5BC61223">
            <w:pPr>
              <w:pStyle w:val="8"/>
              <w:spacing w:before="0" w:beforeAutospacing="0" w:after="0" w:afterAutospacing="0" w:line="360" w:lineRule="auto"/>
              <w:ind w:firstLine="480"/>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预付款的担保措施：乙方法定代表人另行签署《个人连带责任保证书》（格式由甲方提供），书面承诺预付款仅用于本项目材料采购，对预付款的返还义务承担个人连带责任。甲方有权抽查资金使用情况，乙方应予配合。若乙方未按约定用途使用预付款、或逾期交付超过30</w:t>
            </w:r>
            <w:r>
              <w:rPr>
                <w:rFonts w:hint="default" w:ascii="仿宋" w:hAnsi="仿宋" w:eastAsia="仿宋" w:cs="仿宋"/>
                <w:color w:val="000000" w:themeColor="text1"/>
                <w:kern w:val="0"/>
                <w:sz w:val="28"/>
                <w:szCs w:val="28"/>
                <w:highlight w:val="none"/>
                <w:lang w:val="en-US" w:eastAsia="zh-CN" w:bidi="ar-SA"/>
                <w14:textFill>
                  <w14:solidFill>
                    <w14:schemeClr w14:val="tx1"/>
                  </w14:solidFill>
                </w14:textFill>
              </w:rPr>
              <w:t>日、或最终验收不合格，甲方有权要求乙方</w:t>
            </w: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在收到甲方书面通知后</w:t>
            </w:r>
            <w:r>
              <w:rPr>
                <w:rFonts w:hint="default" w:ascii="仿宋" w:hAnsi="仿宋" w:eastAsia="仿宋" w:cs="仿宋"/>
                <w:color w:val="000000" w:themeColor="text1"/>
                <w:kern w:val="0"/>
                <w:sz w:val="28"/>
                <w:szCs w:val="28"/>
                <w:highlight w:val="none"/>
                <w:lang w:val="en-US" w:eastAsia="zh-CN" w:bidi="ar-SA"/>
                <w14:textFill>
                  <w14:solidFill>
                    <w14:schemeClr w14:val="tx1"/>
                  </w14:solidFill>
                </w14:textFill>
              </w:rPr>
              <w:t>10个工作日内，全额返还甲方已支付的预付款，并按预付款金额的</w:t>
            </w: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10</w:t>
            </w:r>
            <w:r>
              <w:rPr>
                <w:rFonts w:hint="default" w:ascii="仿宋" w:hAnsi="仿宋" w:eastAsia="仿宋" w:cs="仿宋"/>
                <w:color w:val="000000" w:themeColor="text1"/>
                <w:kern w:val="0"/>
                <w:sz w:val="28"/>
                <w:szCs w:val="28"/>
                <w:highlight w:val="none"/>
                <w:lang w:val="en-US" w:eastAsia="zh-CN" w:bidi="ar-SA"/>
                <w14:textFill>
                  <w14:solidFill>
                    <w14:schemeClr w14:val="tx1"/>
                  </w14:solidFill>
                </w14:textFill>
              </w:rPr>
              <w:t>%支付违约金。</w:t>
            </w:r>
          </w:p>
        </w:tc>
      </w:tr>
      <w:tr w14:paraId="5F1FE4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F1FA4BD">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1.7.1</w:t>
            </w:r>
          </w:p>
        </w:tc>
        <w:tc>
          <w:tcPr>
            <w:tcW w:w="4380" w:type="pct"/>
            <w:vAlign w:val="center"/>
          </w:tcPr>
          <w:p w14:paraId="56F7EBA3">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服务交付（实施）的时间（期限）：30日历天；</w:t>
            </w:r>
          </w:p>
        </w:tc>
      </w:tr>
      <w:tr w14:paraId="12C82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F4FAA63">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1.7.2</w:t>
            </w:r>
          </w:p>
        </w:tc>
        <w:tc>
          <w:tcPr>
            <w:tcW w:w="4380" w:type="pct"/>
            <w:vAlign w:val="center"/>
          </w:tcPr>
          <w:p w14:paraId="72164A14">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服务交付（实施）的地点（地域范围）：渭河生态区渭河西安城市段堤南K7+370-K7+600范围。</w:t>
            </w:r>
          </w:p>
        </w:tc>
      </w:tr>
      <w:tr w14:paraId="2BCA7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1A28D51F">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1.7.3</w:t>
            </w:r>
          </w:p>
        </w:tc>
        <w:tc>
          <w:tcPr>
            <w:tcW w:w="4380" w:type="pct"/>
            <w:vAlign w:val="center"/>
          </w:tcPr>
          <w:p w14:paraId="77292591">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服务交付（实施）的方式：按照合同约定服务内容完成现场全部工作内容，提供项目全过程配套资料及完工验收报告、验收申请等。</w:t>
            </w:r>
          </w:p>
        </w:tc>
      </w:tr>
      <w:tr w14:paraId="0AA08F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59EB6DC">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2.5</w:t>
            </w:r>
          </w:p>
        </w:tc>
        <w:tc>
          <w:tcPr>
            <w:tcW w:w="4380" w:type="pct"/>
            <w:vAlign w:val="center"/>
          </w:tcPr>
          <w:p w14:paraId="248B13D5">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结算方式和付款条件：双方签订合同后，乙方开具相应增值税普通发票，甲方收到发票后，于10个工作日内支付合同总价款的50%作为预付款，用于材料采购；全部服务内容完成且验收合格后，乙方开具增值税普通发票，甲方支付剩余50%合同款。支付方式为银行转账。</w:t>
            </w:r>
          </w:p>
        </w:tc>
      </w:tr>
      <w:tr w14:paraId="5D4560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5DA6F63">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2.11.3</w:t>
            </w:r>
          </w:p>
        </w:tc>
        <w:tc>
          <w:tcPr>
            <w:tcW w:w="4380" w:type="pct"/>
            <w:vAlign w:val="center"/>
          </w:tcPr>
          <w:p w14:paraId="5AC672AB">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除《中华人民共和国政府采购法》第49条、第50条第二款规定的情形外，本合同一经签订，甲乙双方不得擅自变更、中止或终止合同。因不可抗力致使合同有变更必要的，双方当事人应在10个工作日内以书面形式变更合同；</w:t>
            </w:r>
          </w:p>
        </w:tc>
      </w:tr>
      <w:tr w14:paraId="30ADA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555FD9DF">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2.11.4</w:t>
            </w:r>
          </w:p>
        </w:tc>
        <w:tc>
          <w:tcPr>
            <w:tcW w:w="4380" w:type="pct"/>
          </w:tcPr>
          <w:p w14:paraId="6AC53E80">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受不可抗力影响的一方在不可抗力发生后，应在5个工作日内以书面形式通知对方当事人，并在15个工作日内，将有关部门出具的证明文件送达对方当事人。</w:t>
            </w:r>
          </w:p>
        </w:tc>
      </w:tr>
      <w:tr w14:paraId="5AB75F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2B2B61E3">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2.15.1</w:t>
            </w:r>
          </w:p>
        </w:tc>
        <w:tc>
          <w:tcPr>
            <w:tcW w:w="4380" w:type="pct"/>
            <w:vAlign w:val="center"/>
          </w:tcPr>
          <w:p w14:paraId="0B2F5DD0">
            <w:pPr>
              <w:tabs>
                <w:tab w:val="left" w:pos="360"/>
                <w:tab w:val="left" w:pos="540"/>
                <w:tab w:val="left" w:pos="1080"/>
              </w:tabs>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乙方完成合同约定施工内容，30日内提交相关全套完整项目资料及验收申请，甲方在收到乙方项目资料、验收申请后10个工作日内进行验收。</w:t>
            </w:r>
          </w:p>
        </w:tc>
      </w:tr>
      <w:tr w14:paraId="0E00B0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619" w:type="pct"/>
            <w:tcBorders>
              <w:left w:val="single" w:color="auto" w:sz="4" w:space="0"/>
            </w:tcBorders>
            <w:vAlign w:val="center"/>
          </w:tcPr>
          <w:p w14:paraId="4A3B3577">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2.15.3</w:t>
            </w:r>
          </w:p>
        </w:tc>
        <w:tc>
          <w:tcPr>
            <w:tcW w:w="4380" w:type="pct"/>
            <w:vAlign w:val="center"/>
          </w:tcPr>
          <w:p w14:paraId="4DBC51CB">
            <w:pPr>
              <w:tabs>
                <w:tab w:val="left" w:pos="360"/>
                <w:tab w:val="left" w:pos="540"/>
                <w:tab w:val="left" w:pos="1080"/>
              </w:tabs>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验收标准以本合同约定的服务要求为准，验收程序为：乙方提交验收申请 → 甲方在30日内组织验收 → 双方签署验收书；验收书一经双方授权代表签字盖章即视为对服务内容的最终确认。</w:t>
            </w:r>
          </w:p>
        </w:tc>
      </w:tr>
      <w:tr w14:paraId="18BFE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619" w:type="pct"/>
            <w:tcBorders>
              <w:left w:val="single" w:color="auto" w:sz="4" w:space="0"/>
            </w:tcBorders>
            <w:vAlign w:val="center"/>
          </w:tcPr>
          <w:p w14:paraId="1696D775">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2.19</w:t>
            </w:r>
          </w:p>
        </w:tc>
        <w:tc>
          <w:tcPr>
            <w:tcW w:w="4380" w:type="pct"/>
          </w:tcPr>
          <w:p w14:paraId="6ABBB6FC">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本合同一式肆份，具有同等法律效力，甲乙双方各执贰份，每份均具有同等法律效力。</w:t>
            </w:r>
          </w:p>
        </w:tc>
      </w:tr>
      <w:tr w14:paraId="23DB35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619" w:type="pct"/>
            <w:tcBorders>
              <w:left w:val="single" w:color="auto" w:sz="4" w:space="0"/>
            </w:tcBorders>
            <w:vAlign w:val="center"/>
          </w:tcPr>
          <w:p w14:paraId="6D627117">
            <w:pPr>
              <w:spacing w:line="360" w:lineRule="auto"/>
              <w:jc w:val="center"/>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3.0</w:t>
            </w:r>
          </w:p>
        </w:tc>
        <w:tc>
          <w:tcPr>
            <w:tcW w:w="4380" w:type="pct"/>
          </w:tcPr>
          <w:p w14:paraId="20518BDF">
            <w:pPr>
              <w:spacing w:line="360" w:lineRule="auto"/>
              <w:ind w:firstLine="560" w:firstLineChars="200"/>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bidi="ar-SA"/>
                <w14:textFill>
                  <w14:solidFill>
                    <w14:schemeClr w14:val="tx1"/>
                  </w14:solidFill>
                </w14:textFill>
              </w:rPr>
              <w:t>乙方应按相关规范做好项目建筑垃圾合规外运，所有外运全过程严格遵照属地建筑垃圾处置管理条例及相关规范执行，严禁沿途抛洒、随意倾倒、私自丢弃、就地填埋，须转运至政府合规建筑垃圾消纳场处置，留存转运联单备查。</w:t>
            </w:r>
          </w:p>
        </w:tc>
      </w:tr>
    </w:tbl>
    <w:p w14:paraId="46424040">
      <w:pPr>
        <w:pStyle w:val="10"/>
        <w:rPr>
          <w:rFonts w:hint="eastAsia"/>
          <w:lang w:val="en-US" w:eastAsia="zh-Hans"/>
        </w:rPr>
      </w:pPr>
    </w:p>
    <w:p w14:paraId="101D79D1">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pStyle w:val="2"/>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93010"/>
    <w:rsid w:val="065F1208"/>
    <w:rsid w:val="142764E5"/>
    <w:rsid w:val="145F6743"/>
    <w:rsid w:val="1CB83788"/>
    <w:rsid w:val="378B3212"/>
    <w:rsid w:val="3A230FB3"/>
    <w:rsid w:val="3AA552E9"/>
    <w:rsid w:val="3FE55B67"/>
    <w:rsid w:val="474F06EF"/>
    <w:rsid w:val="5BFA3856"/>
    <w:rsid w:val="5FAF3B85"/>
    <w:rsid w:val="63E813BF"/>
    <w:rsid w:val="65002B3F"/>
    <w:rsid w:val="7511D0DA"/>
    <w:rsid w:val="7AC786FE"/>
    <w:rsid w:val="7DBF2B23"/>
    <w:rsid w:val="7F9FC0A4"/>
    <w:rsid w:val="9BED09A5"/>
    <w:rsid w:val="9DEFDA70"/>
    <w:rsid w:val="BC4505E1"/>
    <w:rsid w:val="DFFEF186"/>
    <w:rsid w:val="EB9EE246"/>
    <w:rsid w:val="F4EFD4F4"/>
    <w:rsid w:val="F5FCCA20"/>
    <w:rsid w:val="F5FF2DDA"/>
    <w:rsid w:val="FDB3E1BF"/>
    <w:rsid w:val="FDEDF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numPr>
        <w:ilvl w:val="0"/>
        <w:numId w:val="1"/>
      </w:numPr>
      <w:adjustRightInd/>
      <w:spacing w:line="360" w:lineRule="auto"/>
      <w:jc w:val="left"/>
      <w:outlineLvl w:val="1"/>
    </w:pPr>
    <w:rPr>
      <w:rFonts w:ascii="仿宋_GB2312" w:hAnsi="仿宋" w:eastAsia="仿宋_GB2312"/>
      <w:b/>
      <w:bCs/>
      <w:sz w:val="32"/>
      <w:szCs w:val="32"/>
      <w:lang w:val="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480" w:lineRule="exact"/>
      <w:ind w:firstLine="480" w:firstLineChars="200"/>
    </w:pPr>
    <w:rPr>
      <w:rFonts w:ascii="宋体" w:hAnsi="宋体"/>
      <w:sz w:val="24"/>
    </w:rPr>
  </w:style>
  <w:style w:type="paragraph" w:customStyle="1" w:styleId="6">
    <w:name w:val="*正文"/>
    <w:basedOn w:val="1"/>
    <w:qFormat/>
    <w:uiPriority w:val="0"/>
    <w:pPr>
      <w:snapToGrid w:val="0"/>
      <w:spacing w:line="360" w:lineRule="auto"/>
      <w:ind w:firstLine="482"/>
      <w:jc w:val="left"/>
    </w:pPr>
    <w:rPr>
      <w:rFonts w:ascii="宋体" w:hAnsi="宋体"/>
      <w:kern w:val="0"/>
      <w:sz w:val="24"/>
      <w:szCs w:val="20"/>
    </w:rPr>
  </w:style>
  <w:style w:type="paragraph" w:customStyle="1" w:styleId="7">
    <w:name w:val="正文缩进1"/>
    <w:basedOn w:val="1"/>
    <w:next w:val="3"/>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8">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9">
    <w:name w:val="纯文本1"/>
    <w:basedOn w:val="1"/>
    <w:qFormat/>
    <w:uiPriority w:val="0"/>
    <w:pPr>
      <w:adjustRightInd/>
    </w:pPr>
    <w:rPr>
      <w:rFonts w:ascii="宋体" w:hAnsi="Courier New"/>
      <w:kern w:val="0"/>
      <w:sz w:val="20"/>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3495</Words>
  <Characters>3749</Characters>
  <Lines>0</Lines>
  <Paragraphs>0</Paragraphs>
  <TotalTime>11</TotalTime>
  <ScaleCrop>false</ScaleCrop>
  <LinksUpToDate>false</LinksUpToDate>
  <CharactersWithSpaces>4171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2026-04-29T15:37:00Z</dcterms:created>
  <dc:creator>files</dc:creator>
  <cp:lastModifiedBy>나무</cp:lastModifiedBy>
  <dcterms:modified xsi:type="dcterms:W3CDTF">2026-06-12T10:30:10Z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EC72D1B5BA1C4DF1B8518C0F11A72921_13</vt:lpwstr>
  </property>
  <property fmtid="{D5CDD505-2E9C-101B-9397-08002B2CF9AE}" pid="4" name="KSOTemplateDocerSaveRecord">
    <vt:lpwstr>eyJoZGlkIjoiZDM2MjBhMjExNDFiMmIwZDk1YmZmZjg2MjNlNzJlNmYiLCJ1c2VySWQiOiIyMTEwOTY5ODUifQ==</vt:lpwstr>
  </property>
</Properties>
</file>