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版本号：FHZB-202601420260715001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铜川市新区正阳路部分道路、人行道水毁抢修工程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FHZB-2026014</w:t>
      </w:r>
      <w:r>
        <w:br/>
      </w:r>
      <w:r>
        <w:br/>
      </w:r>
      <w:r>
        <w:br/>
      </w:r>
    </w:p>
    <w:p>
      <w:pPr>
        <w:pStyle w:val="null3"/>
        <w:jc w:val="center"/>
        <w:outlineLvl w:val="2"/>
      </w:pPr>
      <w:r>
        <w:rPr>
          <w:rFonts w:ascii="仿宋_GB2312" w:hAnsi="仿宋_GB2312" w:cs="仿宋_GB2312" w:eastAsia="仿宋_GB2312"/>
          <w:sz w:val="28"/>
          <w:b/>
        </w:rPr>
        <w:t>铜川市城市管理执法局新耀分局</w:t>
      </w:r>
    </w:p>
    <w:p>
      <w:pPr>
        <w:pStyle w:val="null3"/>
        <w:jc w:val="center"/>
        <w:outlineLvl w:val="2"/>
      </w:pPr>
      <w:r>
        <w:rPr>
          <w:rFonts w:ascii="仿宋_GB2312" w:hAnsi="仿宋_GB2312" w:cs="仿宋_GB2312" w:eastAsia="仿宋_GB2312"/>
          <w:sz w:val="28"/>
          <w:b/>
        </w:rPr>
        <w:t>陕西凡华建设项目管理有限公司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陕西凡华建设项目管理有限公司</w:t>
      </w:r>
      <w:r>
        <w:rPr>
          <w:rFonts w:ascii="仿宋_GB2312" w:hAnsi="仿宋_GB2312" w:cs="仿宋_GB2312" w:eastAsia="仿宋_GB2312"/>
        </w:rPr>
        <w:t>（以下简称“代理机构”）受</w:t>
      </w:r>
      <w:r>
        <w:rPr>
          <w:rFonts w:ascii="仿宋_GB2312" w:hAnsi="仿宋_GB2312" w:cs="仿宋_GB2312" w:eastAsia="仿宋_GB2312"/>
        </w:rPr>
        <w:t>铜川市城市管理执法局新耀分局</w:t>
      </w:r>
      <w:r>
        <w:rPr>
          <w:rFonts w:ascii="仿宋_GB2312" w:hAnsi="仿宋_GB2312" w:cs="仿宋_GB2312" w:eastAsia="仿宋_GB2312"/>
        </w:rPr>
        <w:t>委托，拟对</w:t>
      </w:r>
      <w:r>
        <w:rPr>
          <w:rFonts w:ascii="仿宋_GB2312" w:hAnsi="仿宋_GB2312" w:cs="仿宋_GB2312" w:eastAsia="仿宋_GB2312"/>
        </w:rPr>
        <w:t>铜川市新区正阳路部分道路、人行道水毁抢修工程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FHZB-2026014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铜川市新区正阳路部分道路、人行道水毁抢修工程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新区正阳路部分道路、人行道水毁抢修工程，消除道路安全隐患。该工程位于铜川新区正阳路，主要施工内容为对新区正阳路华阳小区南门东侧、市场监管局南门东侧至运动公园东南口部分道路进行注浆、开挖抢修，沥青混凝土铺设面积约3150m²，交警支队门外两侧人行道修复面积约1500m²等（具体内容详见磋商文件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采购包1（铜川市新区正阳路部分道路、人行道水毁抢修工程）：属于专门面向中小企业采购。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1、营业执照等主体资格证明文件：具有独⽴承担⺠事责任的能⼒，提供法⼈或者其他组织的营业执照等国家规定的证明⽂件，⾃然⼈参与的提供其⾝份证明；</w:t>
      </w:r>
    </w:p>
    <w:p>
      <w:pPr>
        <w:pStyle w:val="null3"/>
      </w:pPr>
      <w:r>
        <w:rPr>
          <w:rFonts w:ascii="仿宋_GB2312" w:hAnsi="仿宋_GB2312" w:cs="仿宋_GB2312" w:eastAsia="仿宋_GB2312"/>
        </w:rPr>
        <w:t>2、法定代表⼈⾝份证明或法定代表⼈授权委托书：法定代表⼈授权书（附法定代表⼈及被授权⼈⾝份证复印件）（如法定代表⼈直接投标只须提交法定代表⼈⾝份证明并附⾝份证复印件）；</w:t>
      </w:r>
    </w:p>
    <w:p>
      <w:pPr>
        <w:pStyle w:val="null3"/>
      </w:pPr>
      <w:r>
        <w:rPr>
          <w:rFonts w:ascii="仿宋_GB2312" w:hAnsi="仿宋_GB2312" w:cs="仿宋_GB2312" w:eastAsia="仿宋_GB2312"/>
        </w:rPr>
        <w:t>3、供应商资质：供应商须具备市政公用工程施工总承包三级及以上资质，且具备合格有效的安全生产许可证；</w:t>
      </w:r>
    </w:p>
    <w:p>
      <w:pPr>
        <w:pStyle w:val="null3"/>
      </w:pPr>
      <w:r>
        <w:rPr>
          <w:rFonts w:ascii="仿宋_GB2312" w:hAnsi="仿宋_GB2312" w:cs="仿宋_GB2312" w:eastAsia="仿宋_GB2312"/>
        </w:rPr>
        <w:t>4、项目经理资质：拟派项目经理须具备市政公用工程专业二级及以上注册建造师资格，具有行政主管部门颁发的安全生产考核合格证，且无在建项目（提供无在建项目承诺书）；</w:t>
      </w:r>
    </w:p>
    <w:p>
      <w:pPr>
        <w:pStyle w:val="null3"/>
      </w:pPr>
      <w:r>
        <w:rPr>
          <w:rFonts w:ascii="仿宋_GB2312" w:hAnsi="仿宋_GB2312" w:cs="仿宋_GB2312" w:eastAsia="仿宋_GB2312"/>
        </w:rPr>
        <w:t>5、财务状况：提供2024年度或2025年度经审计的财务会计报告（包括审计报告、资产负债表、利润表、现金流量表、所有者权益变动表及其附注，成立时间至提交响应文件截止时间不足一年的可提供成立后任意时段的资产负债表），或其开标前三个月内基本开户银行出具的资信证明及基本户开户信息；</w:t>
      </w:r>
    </w:p>
    <w:p>
      <w:pPr>
        <w:pStyle w:val="null3"/>
      </w:pPr>
      <w:r>
        <w:rPr>
          <w:rFonts w:ascii="仿宋_GB2312" w:hAnsi="仿宋_GB2312" w:cs="仿宋_GB2312" w:eastAsia="仿宋_GB2312"/>
        </w:rPr>
        <w:t>6、履约能力：出具具备履行合同所必需的设备和专业技术能力的书面声明；</w:t>
      </w:r>
    </w:p>
    <w:p>
      <w:pPr>
        <w:pStyle w:val="null3"/>
      </w:pPr>
      <w:r>
        <w:rPr>
          <w:rFonts w:ascii="仿宋_GB2312" w:hAnsi="仿宋_GB2312" w:cs="仿宋_GB2312" w:eastAsia="仿宋_GB2312"/>
        </w:rPr>
        <w:t>7、税收缴纳证明：提供2025年07⽉01⽇⾄今任意⼀个⽉的缴纳税收的证明材料(依法免税的单位应提供相关证明材料)；</w:t>
      </w:r>
    </w:p>
    <w:p>
      <w:pPr>
        <w:pStyle w:val="null3"/>
      </w:pPr>
      <w:r>
        <w:rPr>
          <w:rFonts w:ascii="仿宋_GB2312" w:hAnsi="仿宋_GB2312" w:cs="仿宋_GB2312" w:eastAsia="仿宋_GB2312"/>
        </w:rPr>
        <w:t>8、社会保障资金缴纳证明：提供2025年07⽉01⽇⾄今任意⼀个⽉的依法缴纳社会保障资⾦的证明材料（依法不需要缴纳社会保障资⾦的单位应提供相关证明材料）；</w:t>
      </w:r>
    </w:p>
    <w:p>
      <w:pPr>
        <w:pStyle w:val="null3"/>
      </w:pPr>
      <w:r>
        <w:rPr>
          <w:rFonts w:ascii="仿宋_GB2312" w:hAnsi="仿宋_GB2312" w:cs="仿宋_GB2312" w:eastAsia="仿宋_GB2312"/>
        </w:rPr>
        <w:t>9、无重大违法记录：参加政府采购活动前3年内，在经营活动中没有重大违法记录（提供书面声明函）；</w:t>
      </w:r>
    </w:p>
    <w:p>
      <w:pPr>
        <w:pStyle w:val="null3"/>
      </w:pPr>
      <w:r>
        <w:rPr>
          <w:rFonts w:ascii="仿宋_GB2312" w:hAnsi="仿宋_GB2312" w:cs="仿宋_GB2312" w:eastAsia="仿宋_GB2312"/>
        </w:rPr>
        <w:t>10、信用截图：投标供应商不得为“信⽤中国”⽹站（www.creditchina.gov.cn）中列⼊失信被执⾏⼈或重⼤税收违法案件当事⼈名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11、本项⽬不接受联合体磋商：提供⾮联合体承诺；</w:t>
      </w:r>
    </w:p>
    <w:p>
      <w:pPr>
        <w:pStyle w:val="null3"/>
      </w:pPr>
      <w:r>
        <w:rPr>
          <w:rFonts w:ascii="仿宋_GB2312" w:hAnsi="仿宋_GB2312" w:cs="仿宋_GB2312" w:eastAsia="仿宋_GB2312"/>
        </w:rPr>
        <w:t>12、企业关联关系：单位负责人为同一人或者存在直接控股、管理关系的不同供应商不得同时参加本项目磋商；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铜川市城市管理执法局新耀分局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铜川市新区长虹路9号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0919-3182039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陕西凡华建设项目管理有限公司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陕西省西安市雁塔区朱雀大街南段6号紫郡长安小区7栋1单元28层07号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18329998557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采购包1：2,348,788.00元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关于招标代理服务收费有关问题的通知》（发改办价格【2003】857号）文件规定基础上下浮5%收取。可以采取现金、支票、银行汇票、电汇、网银等方式，中标/成交投标人在中标（成交）结果公告发布之日起5日内，向招标代理机构缴纳招标代理服务费/中标（成交）服务费。 开户名称：陕西凡华建设项目管理有限公司， 开户行：中国农业银行股份有限公司西安长丰园小区支行， 银行账户：26110201040016041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铜川市城市管理执法局新耀分局</w:t>
      </w:r>
      <w:r>
        <w:rPr>
          <w:rFonts w:ascii="仿宋_GB2312" w:hAnsi="仿宋_GB2312" w:cs="仿宋_GB2312" w:eastAsia="仿宋_GB2312"/>
        </w:rPr>
        <w:t>和</w:t>
      </w:r>
      <w:r>
        <w:rPr>
          <w:rFonts w:ascii="仿宋_GB2312" w:hAnsi="仿宋_GB2312" w:cs="仿宋_GB2312" w:eastAsia="仿宋_GB2312"/>
        </w:rPr>
        <w:t>陕西凡华建设项目管理有限公司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铜川市城市管理执法局新耀分局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陕西凡华建设项目管理有限公司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铜川市城市管理执法局新耀分局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陕西凡华建设项目管理有限公司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1）验收组织⽅式：⾃⾏验收； 2）是否邀请本项⽬的其他供应商：否； 3）是否邀请专家：否； 4）是否邀请服务对象：是； 5）是否邀请第三⽅检测机构：否； 6）履约验收程序：⼀次性验收； 7）履约验收时间：供应商提出验收申请之⽇起7⽇内组织验收； 8）履约验收标准：符合国家现行验收规范合格标准及采购⼈要求。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联系电话：18329998557</w:t>
      </w:r>
    </w:p>
    <w:p>
      <w:pPr>
        <w:pStyle w:val="null3"/>
      </w:pPr>
      <w:r>
        <w:rPr>
          <w:rFonts w:ascii="仿宋_GB2312" w:hAnsi="仿宋_GB2312" w:cs="仿宋_GB2312" w:eastAsia="仿宋_GB2312"/>
        </w:rPr>
        <w:t>地址：陕西省西安市雁塔区朱雀大街南段6号紫郡长安小区7栋1单元28层07号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2,348,788.00</w:t>
      </w:r>
    </w:p>
    <w:p>
      <w:pPr>
        <w:pStyle w:val="null3"/>
      </w:pPr>
      <w:r>
        <w:rPr>
          <w:rFonts w:ascii="仿宋_GB2312" w:hAnsi="仿宋_GB2312" w:cs="仿宋_GB2312" w:eastAsia="仿宋_GB2312"/>
        </w:rPr>
        <w:t>采购包最高限价（元）: 2,348,788.00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铜川市新区正阳路部分道路、人行道水毁抢修工程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2,348,788.00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标的名称：铜川市新区正阳路部分道路、人行道水毁抢修工程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560"/>
              <w:jc w:val="both"/>
            </w:pPr>
            <w:r>
              <w:rPr>
                <w:rFonts w:ascii="仿宋_GB2312" w:hAnsi="仿宋_GB2312" w:cs="仿宋_GB2312" w:eastAsia="仿宋_GB2312"/>
                <w:sz w:val="24"/>
              </w:rPr>
              <w:t>1、项目名称：铜川市新区正阳路部分道路、人行道水毁抢修工程</w:t>
            </w:r>
          </w:p>
          <w:p>
            <w:pPr>
              <w:pStyle w:val="null3"/>
              <w:ind w:left="555"/>
              <w:jc w:val="both"/>
            </w:pPr>
            <w:r>
              <w:rPr>
                <w:rFonts w:ascii="仿宋_GB2312" w:hAnsi="仿宋_GB2312" w:cs="仿宋_GB2312" w:eastAsia="仿宋_GB2312"/>
                <w:sz w:val="24"/>
              </w:rPr>
              <w:t>2、项目地点：铜川市新区。</w:t>
            </w:r>
          </w:p>
          <w:p>
            <w:pPr>
              <w:pStyle w:val="null3"/>
              <w:jc w:val="both"/>
            </w:pPr>
            <w:r>
              <w:rPr>
                <w:rFonts w:ascii="仿宋_GB2312" w:hAnsi="仿宋_GB2312" w:cs="仿宋_GB2312" w:eastAsia="仿宋_GB2312"/>
                <w:sz w:val="24"/>
                <w:b/>
              </w:rPr>
              <w:t>二、编制范围</w:t>
            </w:r>
          </w:p>
          <w:p>
            <w:pPr>
              <w:pStyle w:val="null3"/>
              <w:ind w:firstLine="560"/>
              <w:jc w:val="both"/>
            </w:pPr>
            <w:r>
              <w:rPr>
                <w:rFonts w:ascii="仿宋_GB2312" w:hAnsi="仿宋_GB2312" w:cs="仿宋_GB2312" w:eastAsia="仿宋_GB2312"/>
                <w:sz w:val="24"/>
              </w:rPr>
              <w:t>1、结合图纸包含全部内容及其他。</w:t>
            </w:r>
          </w:p>
          <w:p>
            <w:pPr>
              <w:pStyle w:val="null3"/>
              <w:jc w:val="both"/>
            </w:pPr>
            <w:r>
              <w:rPr>
                <w:rFonts w:ascii="仿宋_GB2312" w:hAnsi="仿宋_GB2312" w:cs="仿宋_GB2312" w:eastAsia="仿宋_GB2312"/>
                <w:sz w:val="24"/>
                <w:b/>
              </w:rPr>
              <w:t>三、编制依据</w:t>
            </w:r>
          </w:p>
          <w:p>
            <w:pPr>
              <w:pStyle w:val="null3"/>
              <w:ind w:firstLine="560"/>
              <w:jc w:val="both"/>
            </w:pPr>
            <w:r>
              <w:rPr>
                <w:rFonts w:ascii="仿宋_GB2312" w:hAnsi="仿宋_GB2312" w:cs="仿宋_GB2312" w:eastAsia="仿宋_GB2312"/>
                <w:sz w:val="24"/>
              </w:rPr>
              <w:t>1、</w:t>
            </w:r>
            <w:r>
              <w:rPr>
                <w:rFonts w:ascii="仿宋_GB2312" w:hAnsi="仿宋_GB2312" w:cs="仿宋_GB2312" w:eastAsia="仿宋_GB2312"/>
                <w:sz w:val="24"/>
              </w:rPr>
              <w:t>铜川市新区正阳路部分道路、人行道水毁抢修工程</w:t>
            </w:r>
            <w:r>
              <w:rPr>
                <w:rFonts w:ascii="仿宋_GB2312" w:hAnsi="仿宋_GB2312" w:cs="仿宋_GB2312" w:eastAsia="仿宋_GB2312"/>
                <w:sz w:val="24"/>
              </w:rPr>
              <w:t>设计图</w:t>
            </w:r>
            <w:r>
              <w:rPr>
                <w:rFonts w:ascii="仿宋_GB2312" w:hAnsi="仿宋_GB2312" w:cs="仿宋_GB2312" w:eastAsia="仿宋_GB2312"/>
                <w:sz w:val="24"/>
              </w:rPr>
              <w:t>及图纸答疑</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rPr>
              <w:t>2、</w:t>
            </w:r>
            <w:r>
              <w:rPr>
                <w:rFonts w:ascii="仿宋_GB2312" w:hAnsi="仿宋_GB2312" w:cs="仿宋_GB2312" w:eastAsia="仿宋_GB2312"/>
                <w:sz w:val="24"/>
              </w:rPr>
              <w:t>依据</w:t>
            </w:r>
            <w:r>
              <w:rPr>
                <w:rFonts w:ascii="仿宋_GB2312" w:hAnsi="仿宋_GB2312" w:cs="仿宋_GB2312" w:eastAsia="仿宋_GB2312"/>
                <w:sz w:val="24"/>
              </w:rPr>
              <w:t>《</w:t>
            </w:r>
            <w:r>
              <w:rPr>
                <w:rFonts w:ascii="仿宋_GB2312" w:hAnsi="仿宋_GB2312" w:cs="仿宋_GB2312" w:eastAsia="仿宋_GB2312"/>
                <w:sz w:val="24"/>
              </w:rPr>
              <w:t>陕西省建设工程费用规则（</w:t>
            </w:r>
            <w:r>
              <w:rPr>
                <w:rFonts w:ascii="仿宋_GB2312" w:hAnsi="仿宋_GB2312" w:cs="仿宋_GB2312" w:eastAsia="仿宋_GB2312"/>
                <w:sz w:val="24"/>
              </w:rPr>
              <w:t>2025）</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rPr>
              <w:t>3、</w:t>
            </w:r>
            <w:r>
              <w:rPr>
                <w:rFonts w:ascii="仿宋_GB2312" w:hAnsi="仿宋_GB2312" w:cs="仿宋_GB2312" w:eastAsia="仿宋_GB2312"/>
                <w:sz w:val="24"/>
              </w:rPr>
              <w:t>依据：</w:t>
            </w:r>
            <w:r>
              <w:rPr>
                <w:rFonts w:ascii="仿宋_GB2312" w:hAnsi="仿宋_GB2312" w:cs="仿宋_GB2312" w:eastAsia="仿宋_GB2312"/>
                <w:sz w:val="24"/>
              </w:rPr>
              <w:t>陕西省市政工程基价表</w:t>
            </w:r>
            <w:r>
              <w:rPr>
                <w:rFonts w:ascii="仿宋_GB2312" w:hAnsi="仿宋_GB2312" w:cs="仿宋_GB2312" w:eastAsia="仿宋_GB2312"/>
                <w:sz w:val="24"/>
              </w:rPr>
              <w:t>(2025)、陕西省建设工程施工机械合班费用定额(2025)、陕西省建设工程施工仪器仪表台班费用定额(2025)、陕西省市政工程消耗量定额(2025)</w:t>
            </w:r>
            <w:r>
              <w:rPr>
                <w:rFonts w:ascii="仿宋_GB2312" w:hAnsi="仿宋_GB2312" w:cs="仿宋_GB2312" w:eastAsia="仿宋_GB2312"/>
                <w:sz w:val="24"/>
              </w:rPr>
              <w:t>等</w:t>
            </w:r>
            <w:r>
              <w:rPr>
                <w:rFonts w:ascii="仿宋_GB2312" w:hAnsi="仿宋_GB2312" w:cs="仿宋_GB2312" w:eastAsia="仿宋_GB2312"/>
                <w:sz w:val="24"/>
              </w:rPr>
              <w:t>及其他相关文件；</w:t>
            </w:r>
          </w:p>
          <w:p>
            <w:pPr>
              <w:pStyle w:val="null3"/>
              <w:ind w:firstLine="560"/>
              <w:jc w:val="both"/>
            </w:pPr>
            <w:r>
              <w:rPr>
                <w:rFonts w:ascii="仿宋_GB2312" w:hAnsi="仿宋_GB2312" w:cs="仿宋_GB2312" w:eastAsia="仿宋_GB2312"/>
                <w:sz w:val="24"/>
              </w:rPr>
              <w:t>4、材料价参考铜川市2026年第二期信息价及市场询价。</w:t>
            </w:r>
          </w:p>
          <w:p>
            <w:pPr>
              <w:pStyle w:val="null3"/>
              <w:ind w:firstLine="560"/>
              <w:jc w:val="both"/>
            </w:pPr>
            <w:r>
              <w:rPr>
                <w:rFonts w:ascii="仿宋_GB2312" w:hAnsi="仿宋_GB2312" w:cs="仿宋_GB2312" w:eastAsia="仿宋_GB2312"/>
                <w:sz w:val="24"/>
              </w:rPr>
              <w:t>5、广联达版本号7.5000.23.3</w:t>
            </w:r>
          </w:p>
          <w:p>
            <w:pPr>
              <w:pStyle w:val="null3"/>
              <w:jc w:val="both"/>
            </w:pPr>
            <w:r>
              <w:rPr>
                <w:rFonts w:ascii="仿宋_GB2312" w:hAnsi="仿宋_GB2312" w:cs="仿宋_GB2312" w:eastAsia="仿宋_GB2312"/>
                <w:sz w:val="24"/>
                <w:b/>
              </w:rPr>
              <w:t>四、其他</w:t>
            </w:r>
          </w:p>
          <w:p>
            <w:pPr>
              <w:pStyle w:val="null3"/>
              <w:ind w:firstLine="560"/>
              <w:jc w:val="left"/>
            </w:pPr>
            <w:r>
              <w:rPr>
                <w:rFonts w:ascii="仿宋_GB2312" w:hAnsi="仿宋_GB2312" w:cs="仿宋_GB2312" w:eastAsia="仿宋_GB2312"/>
                <w:sz w:val="24"/>
              </w:rPr>
              <w:t>正阳路（华阳小区南门</w:t>
            </w:r>
            <w:r>
              <w:rPr>
                <w:rFonts w:ascii="仿宋_GB2312" w:hAnsi="仿宋_GB2312" w:cs="仿宋_GB2312" w:eastAsia="仿宋_GB2312"/>
                <w:sz w:val="24"/>
              </w:rPr>
              <w:t>—铁诺南路）道路抢修暂列金额</w:t>
            </w:r>
          </w:p>
          <w:p>
            <w:pPr>
              <w:pStyle w:val="null3"/>
              <w:ind w:firstLine="560"/>
              <w:jc w:val="left"/>
            </w:pPr>
            <w:r>
              <w:rPr>
                <w:rFonts w:ascii="仿宋_GB2312" w:hAnsi="仿宋_GB2312" w:cs="仿宋_GB2312" w:eastAsia="仿宋_GB2312"/>
                <w:sz w:val="24"/>
              </w:rPr>
              <w:t>施工排水</w:t>
            </w:r>
            <w:r>
              <w:rPr>
                <w:rFonts w:ascii="仿宋_GB2312" w:hAnsi="仿宋_GB2312" w:cs="仿宋_GB2312" w:eastAsia="仿宋_GB2312"/>
                <w:sz w:val="24"/>
              </w:rPr>
              <w:t>25000元，交通疏导25000元，合计50000元</w:t>
            </w:r>
          </w:p>
          <w:p>
            <w:pPr>
              <w:pStyle w:val="null3"/>
              <w:ind w:firstLine="560"/>
              <w:jc w:val="left"/>
            </w:pPr>
            <w:r>
              <w:rPr>
                <w:rFonts w:ascii="仿宋_GB2312" w:hAnsi="仿宋_GB2312" w:cs="仿宋_GB2312" w:eastAsia="仿宋_GB2312"/>
                <w:sz w:val="24"/>
              </w:rPr>
              <w:t>正阳路（市场监管局南门至长丰南路东线）道路道路暂列金额</w:t>
            </w:r>
          </w:p>
          <w:p>
            <w:pPr>
              <w:pStyle w:val="null3"/>
              <w:jc w:val="both"/>
            </w:pPr>
            <w:r>
              <w:rPr>
                <w:rFonts w:ascii="仿宋_GB2312" w:hAnsi="仿宋_GB2312" w:cs="仿宋_GB2312" w:eastAsia="仿宋_GB2312"/>
                <w:sz w:val="24"/>
              </w:rPr>
              <w:t xml:space="preserve">   施工排水</w:t>
            </w:r>
            <w:r>
              <w:rPr>
                <w:rFonts w:ascii="仿宋_GB2312" w:hAnsi="仿宋_GB2312" w:cs="仿宋_GB2312" w:eastAsia="仿宋_GB2312"/>
                <w:sz w:val="24"/>
              </w:rPr>
              <w:t>25000元，交通疏导25000元，合计50000元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color w:val="000000"/>
                <w:shd w:fill="FFFFFF" w:val="clear"/>
              </w:rPr>
              <w:t>一、施工要求：</w:t>
            </w:r>
          </w:p>
          <w:p>
            <w:pPr>
              <w:pStyle w:val="null3"/>
              <w:ind w:firstLine="425"/>
              <w:jc w:val="both"/>
            </w:pPr>
            <w:r>
              <w:rPr>
                <w:rFonts w:ascii="仿宋_GB2312" w:hAnsi="仿宋_GB2312" w:cs="仿宋_GB2312" w:eastAsia="仿宋_GB2312"/>
                <w:sz w:val="24"/>
                <w:color w:val="000000"/>
                <w:shd w:fill="FFFFFF" w:val="clear"/>
              </w:rPr>
              <w:t>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w:t>
            </w:r>
          </w:p>
          <w:p>
            <w:pPr>
              <w:pStyle w:val="null3"/>
              <w:ind w:firstLine="425"/>
              <w:jc w:val="both"/>
            </w:pPr>
            <w:r>
              <w:rPr>
                <w:rFonts w:ascii="仿宋_GB2312" w:hAnsi="仿宋_GB2312" w:cs="仿宋_GB2312" w:eastAsia="仿宋_GB2312"/>
                <w:sz w:val="24"/>
                <w:color w:val="000000"/>
                <w:shd w:fill="FFFFFF" w:val="clear"/>
              </w:rPr>
              <w:t>2、成交人应配合项目建设进度,向采购人提供施工组织计划、进度计划和施工作业计划，并签订施工安全责任书。</w:t>
            </w:r>
          </w:p>
          <w:p>
            <w:pPr>
              <w:pStyle w:val="null3"/>
              <w:jc w:val="left"/>
            </w:pPr>
            <w:r>
              <w:rPr>
                <w:rFonts w:ascii="仿宋_GB2312" w:hAnsi="仿宋_GB2312" w:cs="仿宋_GB2312" w:eastAsia="仿宋_GB2312"/>
                <w:sz w:val="24"/>
                <w:color w:val="000000"/>
                <w:shd w:fill="FFFFFF" w:val="clear"/>
              </w:rPr>
              <w:t xml:space="preserve">  3、在施工期间，原有生态环境尽量不破坏，确需破坏的，要严格制定措施，尽量少破坏，严格按照施工图纸执行。</w:t>
            </w:r>
          </w:p>
          <w:p>
            <w:pPr>
              <w:pStyle w:val="null3"/>
              <w:jc w:val="left"/>
            </w:pPr>
            <w:r>
              <w:rPr>
                <w:rFonts w:ascii="仿宋_GB2312" w:hAnsi="仿宋_GB2312" w:cs="仿宋_GB2312" w:eastAsia="仿宋_GB2312"/>
                <w:sz w:val="24"/>
                <w:b/>
                <w:color w:val="000000"/>
                <w:shd w:fill="FFFFFF" w:val="clear"/>
              </w:rPr>
              <w:t>二、其它要求</w:t>
            </w:r>
          </w:p>
          <w:p>
            <w:pPr>
              <w:pStyle w:val="null3"/>
              <w:ind w:firstLine="240"/>
              <w:jc w:val="left"/>
            </w:pPr>
            <w:r>
              <w:rPr>
                <w:rFonts w:ascii="仿宋_GB2312" w:hAnsi="仿宋_GB2312" w:cs="仿宋_GB2312" w:eastAsia="仿宋_GB2312"/>
                <w:sz w:val="24"/>
                <w:color w:val="000000"/>
                <w:shd w:fill="FFFFFF" w:val="clear"/>
              </w:rPr>
              <w:t>1.本工程的施工过程和成果必须符合国家有关工程建设标准强制性条文和国家或有关部门关于工程施工方面现行的标准、规范、规程、定额、办法、示例，以及陕西省关于工程施工方面的文件、规定。</w:t>
            </w:r>
          </w:p>
          <w:p>
            <w:pPr>
              <w:pStyle w:val="null3"/>
              <w:ind w:firstLine="240"/>
              <w:jc w:val="left"/>
            </w:pPr>
            <w:r>
              <w:rPr>
                <w:rFonts w:ascii="仿宋_GB2312" w:hAnsi="仿宋_GB2312" w:cs="仿宋_GB2312" w:eastAsia="仿宋_GB2312"/>
                <w:sz w:val="24"/>
                <w:color w:val="000000"/>
                <w:shd w:fill="FFFFFF" w:val="clear"/>
              </w:rPr>
              <w:t>2.供应商在施工过程中使用或参考上述标准、规范以外的技术标准、规范时，应征得采购人的同意。</w:t>
            </w:r>
          </w:p>
          <w:p>
            <w:pPr>
              <w:pStyle w:val="null3"/>
              <w:ind w:firstLine="240"/>
              <w:jc w:val="left"/>
            </w:pPr>
            <w:r>
              <w:rPr>
                <w:rFonts w:ascii="仿宋_GB2312" w:hAnsi="仿宋_GB2312" w:cs="仿宋_GB2312" w:eastAsia="仿宋_GB2312"/>
                <w:sz w:val="24"/>
                <w:color w:val="000000"/>
                <w:shd w:fill="FFFFFF" w:val="clear"/>
              </w:rPr>
              <w:t>3.在施工过程中，如果国家或有关部门颁布了新的技术标准或规范，则承包人应采用新的标准或规范进行施工。</w:t>
            </w:r>
          </w:p>
          <w:p>
            <w:pPr>
              <w:pStyle w:val="null3"/>
              <w:ind w:firstLine="240"/>
              <w:jc w:val="left"/>
            </w:pPr>
            <w:r>
              <w:rPr>
                <w:rFonts w:ascii="仿宋_GB2312" w:hAnsi="仿宋_GB2312" w:cs="仿宋_GB2312" w:eastAsia="仿宋_GB2312"/>
                <w:sz w:val="24"/>
                <w:color w:val="000000"/>
                <w:shd w:fill="FFFFFF" w:val="clear"/>
              </w:rPr>
              <w:t>4.供应商应先充分了解工地位置、地质情况、进出场道路、拆迁干扰、储存空间、运输能力、装卸限制、行车干扰及任何其它足以影响承包价格的情况，了解设计施工规范、标准以及施工现场实际等情况，并应考虑现有人、材、机市场水平和供应、投标风险、不利的施工因素等，任何因忽视或误解工地情况而导致的索赔或工期延长申请将不获批准。</w:t>
            </w:r>
          </w:p>
          <w:p>
            <w:pPr>
              <w:pStyle w:val="null3"/>
              <w:ind w:firstLine="240"/>
              <w:jc w:val="left"/>
            </w:pPr>
            <w:r>
              <w:rPr>
                <w:rFonts w:ascii="仿宋_GB2312" w:hAnsi="仿宋_GB2312" w:cs="仿宋_GB2312" w:eastAsia="仿宋_GB2312"/>
                <w:sz w:val="24"/>
                <w:color w:val="000000"/>
                <w:shd w:fill="FFFFFF" w:val="clear"/>
              </w:rPr>
              <w:t>5.供应商所提供的材料如需向第三方外购时，供应商应对质量负责，并提供相应的出厂和验收证明及相关技术文件。同时，还应满足本磋商文件、工程量清单、施工图纸中的相关技术要求。</w:t>
            </w:r>
          </w:p>
          <w:p>
            <w:pPr>
              <w:pStyle w:val="null3"/>
              <w:ind w:firstLine="240"/>
              <w:jc w:val="left"/>
            </w:pPr>
            <w:r>
              <w:rPr>
                <w:rFonts w:ascii="仿宋_GB2312" w:hAnsi="仿宋_GB2312" w:cs="仿宋_GB2312" w:eastAsia="仿宋_GB2312"/>
                <w:sz w:val="24"/>
                <w:color w:val="000000"/>
                <w:shd w:fill="FFFFFF" w:val="clear"/>
              </w:rPr>
              <w:t>6.质量必须达到国家及行业现行技术规范标准，符合国家及行业施工验收规范合格标准，以及竞争性磋商文件规定的强制性质量和安全标准要求。</w:t>
            </w:r>
          </w:p>
          <w:p>
            <w:pPr>
              <w:pStyle w:val="null3"/>
              <w:ind w:firstLine="240"/>
              <w:jc w:val="left"/>
            </w:pPr>
            <w:r>
              <w:rPr>
                <w:rFonts w:ascii="仿宋_GB2312" w:hAnsi="仿宋_GB2312" w:cs="仿宋_GB2312" w:eastAsia="仿宋_GB2312"/>
                <w:sz w:val="24"/>
                <w:color w:val="000000"/>
                <w:shd w:fill="FFFFFF" w:val="clear"/>
              </w:rPr>
              <w:t>7.供应商成交后，磋商响应文件中拟派项目经理必须与施工时实际委派项目经理一致，采购人将在签署施工合同前查验项目经理相关资质、身份材料以及成交供应商为项目经理缴纳社保的缴费凭据。项目经理必须履职尽责，全程参与施工、例会、解决施工中的问题。</w:t>
            </w:r>
          </w:p>
          <w:p>
            <w:pPr>
              <w:pStyle w:val="null3"/>
              <w:ind w:firstLine="240"/>
              <w:jc w:val="left"/>
            </w:pPr>
            <w:r>
              <w:rPr>
                <w:rFonts w:ascii="仿宋_GB2312" w:hAnsi="仿宋_GB2312" w:cs="仿宋_GB2312" w:eastAsia="仿宋_GB2312"/>
                <w:sz w:val="24"/>
                <w:color w:val="000000"/>
                <w:shd w:fill="FFFFFF" w:val="clear"/>
              </w:rPr>
              <w:t>8.本项目如涉及与政府部门（包含且不限于）环保、城管、规划等沟通协调或办理手续，费用及手续办理均由承包人负责，如因沟通协调及办理手续原因造成工期延误或费用增加等由承包人负责。</w:t>
            </w:r>
          </w:p>
          <w:p>
            <w:pPr>
              <w:pStyle w:val="null3"/>
              <w:ind w:firstLine="240"/>
              <w:jc w:val="left"/>
            </w:pPr>
            <w:r>
              <w:rPr>
                <w:rFonts w:ascii="仿宋_GB2312" w:hAnsi="仿宋_GB2312" w:cs="仿宋_GB2312" w:eastAsia="仿宋_GB2312"/>
                <w:sz w:val="24"/>
                <w:color w:val="000000"/>
                <w:shd w:fill="FFFFFF" w:val="clear"/>
              </w:rPr>
              <w:t>9.施工过程中，供应商应制定详细可行的防污降噪处理措施，减少对周围环境的影响，每天施工结束后对施工现场进行清扫。</w:t>
            </w:r>
          </w:p>
          <w:p>
            <w:pPr>
              <w:pStyle w:val="null3"/>
              <w:ind w:firstLine="240"/>
              <w:jc w:val="left"/>
            </w:pPr>
            <w:r>
              <w:rPr>
                <w:rFonts w:ascii="仿宋_GB2312" w:hAnsi="仿宋_GB2312" w:cs="仿宋_GB2312" w:eastAsia="仿宋_GB2312"/>
                <w:sz w:val="24"/>
                <w:color w:val="000000"/>
                <w:shd w:fill="FFFFFF" w:val="clear"/>
              </w:rPr>
              <w:t>10.承包人不得将其承包的工程转包给他人，也不得将其承包的工程以分包的名义转包给他人。</w:t>
            </w:r>
          </w:p>
          <w:p>
            <w:pPr>
              <w:pStyle w:val="null3"/>
              <w:ind w:firstLine="241"/>
              <w:jc w:val="left"/>
            </w:pPr>
            <w:r>
              <w:rPr>
                <w:rFonts w:ascii="仿宋_GB2312" w:hAnsi="仿宋_GB2312" w:cs="仿宋_GB2312" w:eastAsia="仿宋_GB2312"/>
                <w:sz w:val="24"/>
                <w:b/>
                <w:color w:val="000000"/>
                <w:shd w:fill="FFFFFF" w:val="clear"/>
              </w:rPr>
              <w:t>三、本工程合同形式为固定综合单价合同。</w:t>
            </w:r>
          </w:p>
          <w:p>
            <w:pPr>
              <w:pStyle w:val="null3"/>
              <w:ind w:firstLine="240"/>
              <w:jc w:val="left"/>
            </w:pPr>
            <w:r>
              <w:rPr>
                <w:rFonts w:ascii="仿宋_GB2312" w:hAnsi="仿宋_GB2312" w:cs="仿宋_GB2312" w:eastAsia="仿宋_GB2312"/>
                <w:sz w:val="24"/>
                <w:color w:val="000000"/>
                <w:shd w:fill="FFFFFF" w:val="clear"/>
              </w:rPr>
              <w:t>1.本工程计价采用固定综合单价，各供应商依据企业自身情况自主报价、风险自负。所有投标报价中的单价和合价均以人民币表示。</w:t>
            </w:r>
          </w:p>
          <w:p>
            <w:pPr>
              <w:pStyle w:val="null3"/>
              <w:ind w:firstLine="240"/>
              <w:jc w:val="left"/>
            </w:pPr>
            <w:r>
              <w:rPr>
                <w:rFonts w:ascii="仿宋_GB2312" w:hAnsi="仿宋_GB2312" w:cs="仿宋_GB2312" w:eastAsia="仿宋_GB2312"/>
                <w:sz w:val="24"/>
                <w:color w:val="000000"/>
                <w:shd w:fill="FFFFFF" w:val="clear"/>
              </w:rPr>
              <w:t>2.各供应商对分部分项工程费、措施项目费、其他项目费等进行自主报价、风险自负。</w:t>
            </w:r>
          </w:p>
          <w:p>
            <w:pPr>
              <w:pStyle w:val="null3"/>
              <w:ind w:firstLine="240"/>
              <w:jc w:val="left"/>
            </w:pPr>
            <w:r>
              <w:rPr>
                <w:rFonts w:ascii="仿宋_GB2312" w:hAnsi="仿宋_GB2312" w:cs="仿宋_GB2312" w:eastAsia="仿宋_GB2312"/>
                <w:sz w:val="24"/>
                <w:color w:val="000000"/>
                <w:shd w:fill="FFFFFF" w:val="clear"/>
              </w:rPr>
              <w:t>3.招标工程量清单的工程项目仅表达了主要工程做法，报价时各投标单位应依据图纸、相关图集，结合图纸、磋商文件、合同条款、技术规范及现场情况进行科学合理组价。投标报价应包括该工程项目的人工费、材料费、机械费、措施费、管理费、利润、风险费及规费、税金等政策性文件规定的所有费用，所投标的综合单价采购人视为是相应清单项在招标范围内的全部内容价格。</w:t>
            </w:r>
          </w:p>
          <w:p>
            <w:pPr>
              <w:pStyle w:val="null3"/>
              <w:jc w:val="left"/>
            </w:pPr>
            <w:r>
              <w:rPr>
                <w:rFonts w:ascii="仿宋_GB2312" w:hAnsi="仿宋_GB2312" w:cs="仿宋_GB2312" w:eastAsia="仿宋_GB2312"/>
                <w:sz w:val="24"/>
                <w:color w:val="000000"/>
                <w:shd w:fill="FFFFFF" w:val="clear"/>
              </w:rPr>
              <w:t xml:space="preserve"> 4.供应商在投标截止前修改投标函中的投标总报价，应同时修改“已标价工程量清单”中的相应报价。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（⼀）验收标准：符合国家施⼯验收规范合格标准及采购⼈要求；（⼆）验收⽅法：（1） 在竣⼯后，成交供应商应向采购⼈提交⼯程竣⼯报告，申请⼯程竣⼯验收，并将施⼯过程中相关资料提交采购⼈。（2）采购⼈收到⼯程竣⼯报告后，对符合竣⼯验收要求的⼯程，组织相关单位组成验收组共同验收，签署⼯程竣⼯验收意⻅。（3）验收合格后，采购⼈出具《⼯程竣⼯验收报告》，并在相关主管部⻔备案。（4）验收不合格的中标单位，必须在接到通知后7个⽇历⽇内确保⼯程通过验收。如接到通知后7个⽇历⽇内验收仍不合格，采购⼈可提出索赔或取消其施⼯合同。（三）验收依据：（1）合同⽂本及合同补充⽂件条款（2）磋商⽂件。（3）响应⽂件。（4）⼯程量清单。（5）施⼯质量验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质量保修范围和保修期：质量保修期：⾃⼯程竣⼯验收合格之⽇起2年。若供应商承诺质保期限超过磋商⽂件要求，按其承诺执⾏。保修范围：承包⼈在质量保修期内，按照有关法律规定和合同约定，承担⼯程质量保修责任。（二）商务要求： 1、工期： ⾃合同签定之⽇起30⽇历天； 2、地点：铜川市新区； 3、付款方式：分期付款。支付时间及比例：（1）预付款，合同签订后，达到付款条件起15个⼯作⽇内，⽀付合同总⾦额的40%。（2）进度款，⼯程交⼯验收达到质量标准、移交全部档案资料且项⽬决算评审完成，达到付款条件起15个⼯作⽇内，⽀付合同总⾦额的30%。（3）进度款，交⼯验收⼀年后且竣⼯验收合格，达到付款条件起15个⼯作⽇内，⽀付合同总⾦额的30%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投标供应商应为满足要求的中型、小型或微型企业或监狱企业或残疾人福利性单位。中小微企业参加政府采购活动，应当出具《政府采购促进中小企业发展管理办法》（财库【2020】46号）规定的《中小企业声明函》，否则不得享受相关中小企业扶持政策。在政府采购活动中，监狱企业视同小型、微型企业，享受预留份额、评审中价格扣除等政府采购促进中小企业发展的政府采购政策。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未提供或出具证明文件的单位不符合要求的，不视为小型、微型企业。不享受相关中小企业扶持政策。《财政部、民政部、中国残疾人联合会关于促进残疾人就业政府采购政策的通知》（财库〔2017〕141号）规定，在政府采购活动中，残疾人福利性单位视同小型、微型企业，享受预留份额、评审中价格扣除等促进中小企业发展的政府采购政策。残疾人福利性单位属于小型、微型企业的，不重复享受政策。符合条件的残疾人福利性单位在参加政府采购活动时，应当提供《财政部 民政部中国残疾人联合会关于促进残疾人就业政府采购政策的通知》规定的《残疾人福利性单位声明函》，并对声明的真实性负责，未提供的不视为残疾人福利性单位，不视为小微企业，不享受相关中小企业扶持政策。各供应商应按实际情况慎重正确填写，对相关声明函的真实性负责，如有虚假需承担相关法律责任。 2.其他落实的政府采购政策:（1）《政府采购促进中小企业发展管理办法》（财库〔2020〕46号）；（2）财政部 司法部关于政府采购支持监狱企业发展有关问题的通知--财库〔2014〕68 号；（3）《国务院办公厅关于建立政府强制采购节能产品制度的通知》--国办发〔2007〕51号；(4)《节能产品政府采购实 施意见》--（财库[2004]185号）；(5)《环境标志产品政府采购实施的意见》--财库[2006]90号；(6)《财政部民政部中国残疾人联合会关于促进残疾人就业政府采购政策的通知》--财库[2017]141号；(7)《关于调整优化节能产品、环境标志产品政府采购执行机制的通知》（财库[2019]9号）；(8)《财政部农业农村部国家乡村振兴局关于运用政府采购政策支持乡村产业振兴的通知》（财库〔2021〕19号）；（9）陕西省财政厅关于印发《陕西省中小企业政府采购信用融资办法》（陕财办采〔2018〕23号）；（10）《陕西省财政厅关于加快推进我省中小企业政府采购信用融资工作的通知》（陕财办采〔2020〕15号）；（11）《关于进一步加大政府采购支持中小企业力度的通知》（财库〔2022〕19号）；（12）陕西省财政厅等三部门转发财政部、住房城乡建设部、工业和信息化部关于扩大政府采购绿色建材促进建筑品质提升政策实施范围的通知（陕财办采〔2022〕10号）；(13)其他需要落实的政府采购政策。 (如有最新颁布的政府采购政策，按最新的文件执行。如享受相关政策，需提供相关证明材料）。 3.企业规模划分标准按《工业和信息化部、国家统计局、国家发展和改革委员会、财政部关于印发&lt;中小企业划型标准规定&gt;的通知》（工信部联企业【2011】300 号）文件规定标准确认）。本项目所属行业为建筑业，供应商应根据工信部联企业【2011】 300 号文件中的划型标准按实际填写所属类型。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4.纸质响应⽂件要求：（1）成交供应商应在成交结果公告发布后5个⼯作⽇内提供纸质响应⽂件三份（正本壹份、副本贰份，分别胶装，制作书脊），应通过专⽤制作软件直接打印，确保与电⼦响应⽂件保持⼀致，不允许修改和补充。纸质响应⽂件递交地址：铜川市王益区红旗街正⼤国际新城C座502室。（3）成交供应商应保持响应⽂件纸质版内容与交易系统上传电⼦版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包括审计报告、资产负债表、利润表、现金流量表、所有者权益变动表及其附注，成立时间至提交响应文件截止时间不足一年的可提供成立后任意时段的资产负债表），或其开标前三个月内基本开户银行出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具有独⽴承担⺠事责任的能⼒，提供法⼈或者其他组织的营业执照等国家规定的证明⽂件，⾃然⼈参与的提供其⾝份证明；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法定代表⼈⾝份证明或法定代表⼈授权委托书</w:t>
            </w:r>
          </w:p>
        </w:tc>
        <w:tc>
          <w:tcPr>
            <w:tcW w:type="dxa" w:w="3322"/>
          </w:tcPr>
          <w:p>
            <w:pPr>
              <w:pStyle w:val="null3"/>
            </w:pPr>
            <w:r>
              <w:rPr>
                <w:rFonts w:ascii="仿宋_GB2312" w:hAnsi="仿宋_GB2312" w:cs="仿宋_GB2312" w:eastAsia="仿宋_GB2312"/>
              </w:rPr>
              <w:t>法定代表⼈授权书（附法定代表⼈及被授权⼈⾝份证复印件）（如法定代表⼈直接投标只须提交法定代表⼈⾝份证明并附⾝份证复印件）；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供应商须具备市政公用工程施工总承包三级及以上资质，且具备合格有效的安全生产许可证；</w:t>
            </w:r>
          </w:p>
        </w:tc>
        <w:tc>
          <w:tcPr>
            <w:tcW w:type="dxa" w:w="1661"/>
          </w:tcPr>
          <w:p>
            <w:pPr>
              <w:pStyle w:val="null3"/>
            </w:pPr>
            <w:r>
              <w:rPr>
                <w:rFonts w:ascii="仿宋_GB2312" w:hAnsi="仿宋_GB2312" w:cs="仿宋_GB2312" w:eastAsia="仿宋_GB2312"/>
              </w:rPr>
              <w:t>项目管理机构组成表 供应商资格证明文件.docx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拟派项目经理须具备市政公用工程专业二级及以上注册建造师资格，具有行政主管部门颁发的安全生产考核合格证，且无在建项目（提供无在建项目承诺书）；</w:t>
            </w:r>
          </w:p>
        </w:tc>
        <w:tc>
          <w:tcPr>
            <w:tcW w:type="dxa" w:w="1661"/>
          </w:tcPr>
          <w:p>
            <w:pPr>
              <w:pStyle w:val="null3"/>
            </w:pPr>
            <w:r>
              <w:rPr>
                <w:rFonts w:ascii="仿宋_GB2312" w:hAnsi="仿宋_GB2312" w:cs="仿宋_GB2312" w:eastAsia="仿宋_GB2312"/>
              </w:rPr>
              <w:t>项目管理机构组成表 供应商资格证明文件.docx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财务会计报告（包括审计报告、资产负债表、利润表、现金流量表、所有者权益变动表及其附注，成立时间至提交响应文件截止时间不足一年的可提供成立后任意时段的资产负债表），或其开标前三个月内基本开户银行出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提供2025年07⽉01⽇⾄今任意⼀个⽉的缴纳税收的证明材料(依法免税的单位应提供相关证明材料)；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提供2025年07⽉01⽇⾄今任意⼀个⽉的依法缴纳社会保障资⾦的证明材料（依法不需要缴纳社会保障资⾦的单位应提供相关证明材料）；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投标供应商不得为“信⽤中国”⽹站（www.creditchina.gov.cn）中列⼊失信被执⾏⼈或重⼤税收违法案件当事⼈名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本项⽬不接受联合体磋商</w:t>
            </w:r>
          </w:p>
        </w:tc>
        <w:tc>
          <w:tcPr>
            <w:tcW w:type="dxa" w:w="3322"/>
          </w:tcPr>
          <w:p>
            <w:pPr>
              <w:pStyle w:val="null3"/>
            </w:pPr>
            <w:r>
              <w:rPr>
                <w:rFonts w:ascii="仿宋_GB2312" w:hAnsi="仿宋_GB2312" w:cs="仿宋_GB2312" w:eastAsia="仿宋_GB2312"/>
              </w:rPr>
              <w:t>提供⾮联合体承诺；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 过低，有可能影响工程质量或者不能诚信履约的其他情形。4.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为30分钟。其中，属于第3项情形，供应商已随投标（响应）文件一并提交相关书面说明及必要的证明材料的，在评审现场可不再重复提交。评审委员会依据专业经验，参考同类项目中标（成交）价格、类似项目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供应商不能证明其报价合理性的，磋商小组应当将其作为无效响应处理。5.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响应性评审</w:t>
            </w:r>
          </w:p>
        </w:tc>
        <w:tc>
          <w:tcPr>
            <w:tcW w:type="dxa" w:w="3322"/>
          </w:tcPr>
          <w:p>
            <w:pPr>
              <w:pStyle w:val="null3"/>
            </w:pPr>
            <w:r>
              <w:rPr>
                <w:rFonts w:ascii="仿宋_GB2312" w:hAnsi="仿宋_GB2312" w:cs="仿宋_GB2312" w:eastAsia="仿宋_GB2312"/>
              </w:rPr>
              <w:t>（1） 响应文件的签署及格式：磋商文件要求必须响应的 内容齐全，有格式要求的应符合格式要求；要求签字或盖章的，按文件规定签字或盖章齐全；（2）报价唯一：只能有一个有效报价，不得提交选择性报价，且报价不超过采购 预算和最高限价。（3） 磋商文件响应的响应程度：要求全面响应，不能有任何采购人不能接受的附加条件；（4）拟提供技术和服务：应满足磋商文件提出的技术和服务要求。（5）磋商有效期：应满足磋商文件中的规定；（6）工期和工程质量：应满足磋商文件中的规定。</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拒绝商业贿赂承诺书.docx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供应商针对本项⽬实际需求提供施⼯⽅案，内容包含①施⼯部署；②进度计划；③技术难点、应对措施；④施⼯⽅法；⑤影响正常施⼯外在因素分析及对应预案等。⼆、评审标准：以上内容内容详细全⾯，对本项⽬了解透彻，切合本项⽬实际情况，⽅案全⾯、施⼯步骤清晰、合理，⽅案能够紧扣项⽬实际情况，内容科学合理得满分15分。评审内容每缺⼀项扣3分。每项内容存在⼀个缺陷扣0.3分，扣完为⽌。（缺陷是指：内容粗略不够全⾯、不够合理、可⾏性不⾜或缺少关键点；⾮专⻔针对本项⽬或不适⽤本项⽬ 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评审内容：供应商针对本项⽬实际需求提供确保⼯程质量的技术组织措施，内容包含①质量⽬标；②质量管理控制体系；③质量管理措施。⼆、评审标准：以上内容内容详细全⾯，对本项⽬了解透彻，切合本项⽬实际情况，⽅案全⾯、施⼯步骤清晰、合理，⽅案能够紧扣项⽬实际情况，内容科学合理得满分9分。评审内容每缺⼀项扣3分。每项内容存在⼀个缺陷扣0.3分，扣完为⽌。（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⽂明施⼯及环境保护组织措施</w:t>
            </w:r>
          </w:p>
        </w:tc>
        <w:tc>
          <w:tcPr>
            <w:tcW w:type="dxa" w:w="2492"/>
          </w:tcPr>
          <w:p>
            <w:pPr>
              <w:pStyle w:val="null3"/>
            </w:pPr>
            <w:r>
              <w:rPr>
                <w:rFonts w:ascii="仿宋_GB2312" w:hAnsi="仿宋_GB2312" w:cs="仿宋_GB2312" w:eastAsia="仿宋_GB2312"/>
              </w:rPr>
              <w:t>⼀、评审内容：供应商针对本项⽬实际需求提供⽂明施⼯及环境保护组织措施，内容包含①⽂明施⼯及环境保护专项管理组织机构图； ②⽂明施⼯及环境保护岗位⼈员管理制度；③适配学校操场维修⼯程的⽂明施⼯、校园环境保护专项协调管控措施。⼆、评审标准：以上内容内容详细全⾯，对本项⽬了解透彻，切合本项⽬实际情况，⽅案全⾯、施⼯步骤清晰、合理，⽅案能够紧扣项⽬实际情况，内容科学合理得满分9分。评审内容每缺⼀项扣3分。每项内容存在⼀个缺陷扣0.3分，扣完为⽌。（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评审内容：供应商针对本项⽬实际需求提供确保⼯期的技术组织措施，内容包含①⼯期计划；②关键节点⼯期分析；③延误⼯期补救措施。⼆、评审标准：以上内容内容详细全⾯，对本项⽬了解透彻，切合本项⽬实际情况，⽅案全⾯、施⼯步骤清晰、合理，⽅案能够紧扣项⽬实际情况，内容科学合理得满分9分。评审内容每缺⼀项扣3分。每项内容存在⼀个缺陷扣0.3分，扣完为⽌。（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施⼯机械配备和材料投⼊计划</w:t>
            </w:r>
          </w:p>
        </w:tc>
        <w:tc>
          <w:tcPr>
            <w:tcW w:type="dxa" w:w="2492"/>
          </w:tcPr>
          <w:p>
            <w:pPr>
              <w:pStyle w:val="null3"/>
            </w:pPr>
            <w:r>
              <w:rPr>
                <w:rFonts w:ascii="仿宋_GB2312" w:hAnsi="仿宋_GB2312" w:cs="仿宋_GB2312" w:eastAsia="仿宋_GB2312"/>
              </w:rPr>
              <w:t>⼀、评审内容：供应商针对本项⽬实际需求提供施⼯机械配备和材料投⼊计划，内容包含①施⼯机械配置计划；②施⼯材料投⼊计划；③施⼯机械的维护保养和材料的贮存；④施⼯机械、材料的监督和检查等。⼆、评审标准：以上内容内容详细全⾯，对本项⽬了解透彻，切合本项⽬实际情况，⽅案全⾯、施⼯步骤清晰、合理，⽅案能够紧扣项⽬实际情况，内容科学合理得满分8分。评审内容每缺⼀项扣2分。每项内容存在⼀个缺陷扣0.2分，扣完为⽌。（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项⽬组织管理机构及⼈员配备情况</w:t>
            </w:r>
          </w:p>
        </w:tc>
        <w:tc>
          <w:tcPr>
            <w:tcW w:type="dxa" w:w="2492"/>
          </w:tcPr>
          <w:p>
            <w:pPr>
              <w:pStyle w:val="null3"/>
            </w:pPr>
            <w:r>
              <w:rPr>
                <w:rFonts w:ascii="仿宋_GB2312" w:hAnsi="仿宋_GB2312" w:cs="仿宋_GB2312" w:eastAsia="仿宋_GB2312"/>
              </w:rPr>
              <w:t>1.项⽬组织管理机构（2分）：提供项⽬组织管理机构表得2分；未提供得0分。2.项⽬经理（4分）：具备类似项⽬经验（附加盖公章的合同复印件或扫描件，合同需体现项⽬经理署名）得2分，具备中级及以上⼯程师职称得2分，其他不得分。（需提供加盖公章的职称证书）。3.项⽬⼈员配备（5分）：需配备技术负责⼈、专职安全员（需C证）、质量员（需质量员证书）等岗位，需提供岗位证书。每配备⼀⼈得1分，最⾼得5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类似项⽬业绩</w:t>
            </w:r>
          </w:p>
        </w:tc>
        <w:tc>
          <w:tcPr>
            <w:tcW w:type="dxa" w:w="2492"/>
          </w:tcPr>
          <w:p>
            <w:pPr>
              <w:pStyle w:val="null3"/>
            </w:pPr>
            <w:r>
              <w:rPr>
                <w:rFonts w:ascii="仿宋_GB2312" w:hAnsi="仿宋_GB2312" w:cs="仿宋_GB2312" w:eastAsia="仿宋_GB2312"/>
              </w:rPr>
              <w:t>提供2023年7⽉1⽇⾄今类似项⽬业绩，每提供⼀项有效业绩得3分，满分9分。注:业绩需提供中标通知书或施⼯合同或竣⼯验收证明的复印件或扫描件加盖供应商公章，时间以合同签订时间为准。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价格分采⽤低价优先法，即实质性满⾜磋商⽂件要求且最终磋商报价最低的为磋商基准价，其价格分为 满分30分。其他供应商的价格分按照下列公式计算：磋商报价得分=(磋商基准价/磋商报价)×30。计算分数时四舍五⼊取⼩数点后两位。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