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版本号：SXGL26--004H20260731003</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采购8辆12吨电动餐厨垃圾车</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SXGL26--004H</w:t>
      </w:r>
      <w:r>
        <w:br/>
      </w:r>
      <w:r>
        <w:br/>
      </w:r>
      <w:r>
        <w:br/>
      </w:r>
    </w:p>
    <w:p>
      <w:pPr>
        <w:pStyle w:val="null3"/>
        <w:jc w:val="center"/>
        <w:outlineLvl w:val="2"/>
      </w:pPr>
      <w:r>
        <w:rPr>
          <w:rFonts w:ascii="仿宋_GB2312" w:hAnsi="仿宋_GB2312" w:cs="仿宋_GB2312" w:eastAsia="仿宋_GB2312"/>
          <w:sz w:val="28"/>
          <w:b/>
        </w:rPr>
        <w:t>西安市碑林区城市管理和综合执法局（本级）</w:t>
      </w:r>
    </w:p>
    <w:p>
      <w:pPr>
        <w:pStyle w:val="null3"/>
        <w:jc w:val="center"/>
        <w:outlineLvl w:val="2"/>
      </w:pPr>
      <w:r>
        <w:rPr>
          <w:rFonts w:ascii="仿宋_GB2312" w:hAnsi="仿宋_GB2312" w:cs="仿宋_GB2312" w:eastAsia="仿宋_GB2312"/>
          <w:sz w:val="28"/>
          <w:b/>
        </w:rPr>
        <w:t>陕西亘立项目管理有限公司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2026年07月31日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陕西亘立项目管理有限公司</w:t>
      </w:r>
      <w:r>
        <w:rPr>
          <w:rFonts w:ascii="仿宋_GB2312" w:hAnsi="仿宋_GB2312" w:cs="仿宋_GB2312" w:eastAsia="仿宋_GB2312"/>
        </w:rPr>
        <w:t>（以下简称“代理机构”）受</w:t>
      </w:r>
      <w:r>
        <w:rPr>
          <w:rFonts w:ascii="仿宋_GB2312" w:hAnsi="仿宋_GB2312" w:cs="仿宋_GB2312" w:eastAsia="仿宋_GB2312"/>
        </w:rPr>
        <w:t>西安市碑林区城市管理和综合执法局（本级）</w:t>
      </w:r>
      <w:r>
        <w:rPr>
          <w:rFonts w:ascii="仿宋_GB2312" w:hAnsi="仿宋_GB2312" w:cs="仿宋_GB2312" w:eastAsia="仿宋_GB2312"/>
        </w:rPr>
        <w:t>委托，拟对</w:t>
      </w:r>
      <w:r>
        <w:rPr>
          <w:rFonts w:ascii="仿宋_GB2312" w:hAnsi="仿宋_GB2312" w:cs="仿宋_GB2312" w:eastAsia="仿宋_GB2312"/>
        </w:rPr>
        <w:t>采购8辆12吨电动餐厨垃圾车</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SXGL26--004H</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采购8辆12吨电动餐厨垃圾车</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随着城市规模的扩大和人口的增加，对厨余垃圾清运的需求也相应增加，采购新的电动厨余垃圾清运车可以满足不断增长的垃圾处理需求。</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信用信息：供应商未被“信用中国”网站（www.creditchina.gov.cn）列入失信被执行人和重大税收违法失信主体，未被中国政府采购网（www.ccgp.gov.cn）列入政府采购严重违法失信行为记录名单（响应文件解密完成后查询相关信用记录，对列入失信被执行人、重大税收违法失信主体、政府采购严重违法失信行为记录名单及其他不符合《中华人民共和国政府采购法》第二十二条规定的供应商，将拒绝其参与政府采购活动，查询结果以电子或纸质方式留存）。</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西安市碑林区城市管理和综合执法局（本级）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西安市碑林区雁塔北路23号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710054</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王晶</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15596609127</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陕西亘立项目管理有限公司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陕西省西安市曲江新区杜陵西路中海曲江大城君尚府46幢10404号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赵阿香 吴霁瑾 高琳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18192742870</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西安市碑林区财政局</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杨志刚</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029-89625302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采购包1：6,240,000.00元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服务费以中标金额为基础，依据《国家计委关于印发招标代理服务收费管理暂行办法的通知》（计价格〔2002〕1980号）和国家发改委办公厅颁发的《关于招标代理服务收费有关问题的通知》（发改办价格〔2003〕857号）文件规定标准计算收取，由中标人向采购代理机构支付，采购代理服务费具体收费金额将在中标公告中公布。 请将采购代理服务费汇至下列指定账户： 开户名称：陕西亘立项目管理有限公司 开 户 行：西安银行股份有限公司西安友谊东路支行 账 号：115011580000061434 注：采购代理服务费计入投标报价中，但不需要单独列项。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西安市碑林区城市管理和综合执法局（本级）</w:t>
      </w:r>
      <w:r>
        <w:rPr>
          <w:rFonts w:ascii="仿宋_GB2312" w:hAnsi="仿宋_GB2312" w:cs="仿宋_GB2312" w:eastAsia="仿宋_GB2312"/>
        </w:rPr>
        <w:t>和</w:t>
      </w:r>
      <w:r>
        <w:rPr>
          <w:rFonts w:ascii="仿宋_GB2312" w:hAnsi="仿宋_GB2312" w:cs="仿宋_GB2312" w:eastAsia="仿宋_GB2312"/>
        </w:rPr>
        <w:t>陕西亘立项目管理有限公司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西安市碑林区城市管理和综合执法局（本级）</w:t>
      </w:r>
      <w:r>
        <w:rPr>
          <w:rFonts w:ascii="仿宋_GB2312" w:hAnsi="仿宋_GB2312" w:cs="仿宋_GB2312" w:eastAsia="仿宋_GB2312"/>
        </w:rPr>
        <w:t>负责解释。除上述招标文件内容，其他内容由</w:t>
      </w:r>
      <w:r>
        <w:rPr>
          <w:rFonts w:ascii="仿宋_GB2312" w:hAnsi="仿宋_GB2312" w:cs="仿宋_GB2312" w:eastAsia="仿宋_GB2312"/>
        </w:rPr>
        <w:t>陕西亘立项目管理有限公司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西安市碑林区城市管理和综合执法局（本级）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陕西亘立项目管理有限公司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现行的国家标准或国家行政部门颁布的法律法规、规章制度等，是项目验收的另一个重要依据。没有国家标准的，可以参考行业标准。 所有设备（产品）数量、型号、技术指标及配置等全部按招标文件、投标文件及澄清函等进行验收。各项指标均应符合要求，若所验设备（产品）的指标、性能参数通过验收达不到要求，或在使用中发现采购人不能容忍的缺陷等，将视为设备（产品）验收不合格，投标人应免费更换或退货。</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陕西亘立项目管理有限公司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陕西亘立项目管理有限公司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陕西亘立项目管理有限公司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联系人：赵阿香 吴霁瑾 高琳</w:t>
      </w:r>
    </w:p>
    <w:p>
      <w:pPr>
        <w:pStyle w:val="null3"/>
      </w:pPr>
      <w:r>
        <w:rPr>
          <w:rFonts w:ascii="仿宋_GB2312" w:hAnsi="仿宋_GB2312" w:cs="仿宋_GB2312" w:eastAsia="仿宋_GB2312"/>
        </w:rPr>
        <w:t>联系电话：18192742870</w:t>
      </w:r>
    </w:p>
    <w:p>
      <w:pPr>
        <w:pStyle w:val="null3"/>
      </w:pPr>
      <w:r>
        <w:rPr>
          <w:rFonts w:ascii="仿宋_GB2312" w:hAnsi="仿宋_GB2312" w:cs="仿宋_GB2312" w:eastAsia="仿宋_GB2312"/>
        </w:rPr>
        <w:t>地址：陕西省西安市曲江新区杜陵西路中海曲江大城君尚府46幢10404号</w:t>
      </w:r>
    </w:p>
    <w:p>
      <w:pPr>
        <w:pStyle w:val="null3"/>
      </w:pPr>
      <w:r>
        <w:rPr>
          <w:rFonts w:ascii="仿宋_GB2312" w:hAnsi="仿宋_GB2312" w:cs="仿宋_GB2312" w:eastAsia="仿宋_GB2312"/>
        </w:rPr>
        <w:t>邮编：710100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随着城市规模的扩大和人口的增加，对厨余垃圾清运的需求也相应增加，采购新的电动厨余垃圾清运车可以满足不断增长的垃圾处理需求。</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6,240,000.00</w:t>
      </w:r>
    </w:p>
    <w:p>
      <w:pPr>
        <w:pStyle w:val="null3"/>
      </w:pPr>
      <w:r>
        <w:rPr>
          <w:rFonts w:ascii="仿宋_GB2312" w:hAnsi="仿宋_GB2312" w:cs="仿宋_GB2312" w:eastAsia="仿宋_GB2312"/>
        </w:rPr>
        <w:t>采购包最高限价（元）: 6,240,000.00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采购8辆12吨电动餐厨垃圾车</w:t>
            </w:r>
          </w:p>
        </w:tc>
        <w:tc>
          <w:tcPr>
            <w:tcW w:type="dxa" w:w="755"/>
          </w:tcPr>
          <w:p>
            <w:pPr>
              <w:pStyle w:val="null3"/>
              <w:jc w:val="right"/>
            </w:pPr>
            <w:r>
              <w:rPr>
                <w:rFonts w:ascii="仿宋_GB2312" w:hAnsi="仿宋_GB2312" w:cs="仿宋_GB2312" w:eastAsia="仿宋_GB2312"/>
              </w:rPr>
              <w:t>8.00</w:t>
            </w:r>
          </w:p>
        </w:tc>
        <w:tc>
          <w:tcPr>
            <w:tcW w:type="dxa" w:w="755"/>
          </w:tcPr>
          <w:p>
            <w:pPr>
              <w:pStyle w:val="null3"/>
              <w:jc w:val="right"/>
            </w:pPr>
            <w:r>
              <w:rPr>
                <w:rFonts w:ascii="仿宋_GB2312" w:hAnsi="仿宋_GB2312" w:cs="仿宋_GB2312" w:eastAsia="仿宋_GB2312"/>
              </w:rPr>
              <w:t>6,240,000.00</w:t>
            </w:r>
          </w:p>
        </w:tc>
        <w:tc>
          <w:tcPr>
            <w:tcW w:type="dxa" w:w="755"/>
          </w:tcPr>
          <w:p>
            <w:pPr>
              <w:pStyle w:val="null3"/>
            </w:pPr>
            <w:r>
              <w:rPr>
                <w:rFonts w:ascii="仿宋_GB2312" w:hAnsi="仿宋_GB2312" w:cs="仿宋_GB2312" w:eastAsia="仿宋_GB2312"/>
              </w:rPr>
              <w:t>辆</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标的名称：采购8辆12吨电动餐厨垃圾车</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0"/>
                <w:b/>
              </w:rPr>
              <w:t>1.项目概况及总体要求</w:t>
            </w:r>
          </w:p>
          <w:p>
            <w:pPr>
              <w:pStyle w:val="null3"/>
              <w:ind w:firstLine="400"/>
              <w:jc w:val="left"/>
            </w:pPr>
            <w:r>
              <w:rPr>
                <w:rFonts w:ascii="仿宋_GB2312" w:hAnsi="仿宋_GB2312" w:cs="仿宋_GB2312" w:eastAsia="仿宋_GB2312"/>
              </w:rPr>
              <w:t>随着城市规模的扩大和人口的增加，对厨余垃圾清运的需求也相应增加，采购新的电动厨余垃圾清运车可以满足不断增长的垃圾处理需求</w:t>
            </w:r>
            <w:r>
              <w:rPr>
                <w:rFonts w:ascii="仿宋_GB2312" w:hAnsi="仿宋_GB2312" w:cs="仿宋_GB2312" w:eastAsia="仿宋_GB2312"/>
              </w:rPr>
              <w:t>，</w:t>
            </w:r>
            <w:r>
              <w:rPr>
                <w:rFonts w:ascii="仿宋_GB2312" w:hAnsi="仿宋_GB2312" w:cs="仿宋_GB2312" w:eastAsia="仿宋_GB2312"/>
              </w:rPr>
              <w:t>我单位计划购置</w:t>
            </w:r>
            <w:r>
              <w:rPr>
                <w:rFonts w:ascii="仿宋_GB2312" w:hAnsi="仿宋_GB2312" w:cs="仿宋_GB2312" w:eastAsia="仿宋_GB2312"/>
              </w:rPr>
              <w:t>8</w:t>
            </w:r>
            <w:r>
              <w:rPr>
                <w:rFonts w:ascii="仿宋_GB2312" w:hAnsi="仿宋_GB2312" w:cs="仿宋_GB2312" w:eastAsia="仿宋_GB2312"/>
              </w:rPr>
              <w:t>辆</w:t>
            </w:r>
            <w:r>
              <w:rPr>
                <w:rFonts w:ascii="仿宋_GB2312" w:hAnsi="仿宋_GB2312" w:cs="仿宋_GB2312" w:eastAsia="仿宋_GB2312"/>
              </w:rPr>
              <w:t>12</w:t>
            </w:r>
            <w:r>
              <w:rPr>
                <w:rFonts w:ascii="仿宋_GB2312" w:hAnsi="仿宋_GB2312" w:cs="仿宋_GB2312" w:eastAsia="仿宋_GB2312"/>
              </w:rPr>
              <w:t>吨</w:t>
            </w:r>
            <w:r>
              <w:rPr>
                <w:rFonts w:ascii="仿宋_GB2312" w:hAnsi="仿宋_GB2312" w:cs="仿宋_GB2312" w:eastAsia="仿宋_GB2312"/>
              </w:rPr>
              <w:t>纯</w:t>
            </w:r>
            <w:r>
              <w:rPr>
                <w:rFonts w:ascii="仿宋_GB2312" w:hAnsi="仿宋_GB2312" w:cs="仿宋_GB2312" w:eastAsia="仿宋_GB2312"/>
              </w:rPr>
              <w:t>电动餐厨垃圾车</w:t>
            </w:r>
            <w:r>
              <w:rPr>
                <w:rFonts w:ascii="仿宋_GB2312" w:hAnsi="仿宋_GB2312" w:cs="仿宋_GB2312" w:eastAsia="仿宋_GB2312"/>
              </w:rPr>
              <w:t>。</w:t>
            </w:r>
          </w:p>
          <w:p>
            <w:pPr>
              <w:pStyle w:val="null3"/>
              <w:jc w:val="left"/>
            </w:pPr>
            <w:r>
              <w:rPr>
                <w:rFonts w:ascii="仿宋_GB2312" w:hAnsi="仿宋_GB2312" w:cs="仿宋_GB2312" w:eastAsia="仿宋_GB2312"/>
                <w:sz w:val="20"/>
              </w:rPr>
              <w:t xml:space="preserve">   本项目行业属性为工业（从业人员</w:t>
            </w:r>
            <w:r>
              <w:rPr>
                <w:rFonts w:ascii="仿宋_GB2312" w:hAnsi="仿宋_GB2312" w:cs="仿宋_GB2312" w:eastAsia="仿宋_GB2312"/>
                <w:sz w:val="20"/>
              </w:rPr>
              <w:t>1000人以下或营业收入40000万元以下的为中小微型企业。其中，从业人员300人及以上，且营业收入2000万元及以上的为中型企业；从业人员20人及以上，且营业收入300万元</w:t>
            </w:r>
            <w:r>
              <w:rPr>
                <w:rFonts w:ascii="仿宋_GB2312" w:hAnsi="仿宋_GB2312" w:cs="仿宋_GB2312" w:eastAsia="仿宋_GB2312"/>
                <w:sz w:val="20"/>
              </w:rPr>
              <w:t>及以上的为小型企业；从业人员</w:t>
            </w:r>
            <w:r>
              <w:rPr>
                <w:rFonts w:ascii="仿宋_GB2312" w:hAnsi="仿宋_GB2312" w:cs="仿宋_GB2312" w:eastAsia="仿宋_GB2312"/>
                <w:sz w:val="20"/>
              </w:rPr>
              <w:t>20人以下或营业收入300万元以下的为微型企业）。</w:t>
            </w:r>
          </w:p>
          <w:p>
            <w:pPr>
              <w:pStyle w:val="null3"/>
              <w:spacing w:before="120"/>
              <w:jc w:val="both"/>
            </w:pPr>
            <w:r>
              <w:rPr>
                <w:rFonts w:ascii="仿宋_GB2312" w:hAnsi="仿宋_GB2312" w:cs="仿宋_GB2312" w:eastAsia="仿宋_GB2312"/>
                <w:sz w:val="20"/>
                <w:b/>
              </w:rPr>
              <w:t>2.采购内容</w:t>
            </w:r>
          </w:p>
          <w:p>
            <w:pPr>
              <w:pStyle w:val="null3"/>
              <w:spacing w:after="120"/>
              <w:ind w:right="45"/>
              <w:jc w:val="both"/>
            </w:pPr>
            <w:r>
              <w:rPr>
                <w:rFonts w:ascii="仿宋_GB2312" w:hAnsi="仿宋_GB2312" w:cs="仿宋_GB2312" w:eastAsia="仿宋_GB2312"/>
                <w:sz w:val="20"/>
                <w:b/>
              </w:rPr>
              <w:t>2.1 技术要求</w:t>
            </w:r>
          </w:p>
          <w:p>
            <w:pPr>
              <w:pStyle w:val="null3"/>
              <w:jc w:val="both"/>
            </w:pPr>
            <w:r>
              <w:rPr>
                <w:rFonts w:ascii="仿宋_GB2312" w:hAnsi="仿宋_GB2312" w:cs="仿宋_GB2312" w:eastAsia="仿宋_GB2312"/>
                <w:sz w:val="20"/>
                <w:b/>
              </w:rPr>
              <w:t>2.1.1</w:t>
            </w:r>
            <w:r>
              <w:rPr>
                <w:rFonts w:ascii="仿宋_GB2312" w:hAnsi="仿宋_GB2312" w:cs="仿宋_GB2312" w:eastAsia="仿宋_GB2312"/>
                <w:b/>
              </w:rPr>
              <w:t xml:space="preserve"> </w:t>
            </w:r>
            <w:r>
              <w:rPr>
                <w:rFonts w:ascii="仿宋_GB2312" w:hAnsi="仿宋_GB2312" w:cs="仿宋_GB2312" w:eastAsia="仿宋_GB2312"/>
                <w:sz w:val="20"/>
                <w:b/>
              </w:rPr>
              <w:t>带有</w:t>
            </w:r>
            <w:r>
              <w:rPr>
                <w:rFonts w:ascii="仿宋_GB2312" w:hAnsi="仿宋_GB2312" w:cs="仿宋_GB2312" w:eastAsia="仿宋_GB2312"/>
                <w:sz w:val="20"/>
                <w:b/>
              </w:rPr>
              <w:t>★号的技术参数为实质性条款不得有偏差。带有▲号的参数为重要参数，不满足的将影响技术响应得分。其余参数为一般参数。</w:t>
            </w:r>
          </w:p>
          <w:p>
            <w:pPr>
              <w:pStyle w:val="null3"/>
              <w:jc w:val="both"/>
            </w:pPr>
            <w:r>
              <w:rPr>
                <w:rFonts w:ascii="仿宋_GB2312" w:hAnsi="仿宋_GB2312" w:cs="仿宋_GB2312" w:eastAsia="仿宋_GB2312"/>
                <w:sz w:val="20"/>
                <w:b/>
              </w:rPr>
              <w:t xml:space="preserve">2.1.2 </w:t>
            </w:r>
            <w:r>
              <w:rPr>
                <w:rFonts w:ascii="仿宋_GB2312" w:hAnsi="仿宋_GB2312" w:cs="仿宋_GB2312" w:eastAsia="仿宋_GB2312"/>
                <w:sz w:val="20"/>
                <w:b/>
              </w:rPr>
              <w:t>采购</w:t>
            </w:r>
            <w:r>
              <w:rPr>
                <w:rFonts w:ascii="仿宋_GB2312" w:hAnsi="仿宋_GB2312" w:cs="仿宋_GB2312" w:eastAsia="仿宋_GB2312"/>
                <w:sz w:val="20"/>
                <w:b/>
              </w:rPr>
              <w:t>产品名称：</w:t>
            </w:r>
            <w:r>
              <w:rPr>
                <w:rFonts w:ascii="仿宋_GB2312" w:hAnsi="仿宋_GB2312" w:cs="仿宋_GB2312" w:eastAsia="仿宋_GB2312"/>
                <w:b/>
                <w:u w:val="single"/>
              </w:rPr>
              <w:t xml:space="preserve"> </w:t>
            </w:r>
            <w:r>
              <w:rPr>
                <w:rFonts w:ascii="仿宋_GB2312" w:hAnsi="仿宋_GB2312" w:cs="仿宋_GB2312" w:eastAsia="仿宋_GB2312"/>
                <w:sz w:val="21"/>
                <w:b/>
                <w:u w:val="single"/>
              </w:rPr>
              <w:t>12吨</w:t>
            </w:r>
            <w:r>
              <w:rPr>
                <w:rFonts w:ascii="仿宋_GB2312" w:hAnsi="仿宋_GB2312" w:cs="仿宋_GB2312" w:eastAsia="仿宋_GB2312"/>
                <w:sz w:val="21"/>
                <w:b/>
                <w:u w:val="single"/>
              </w:rPr>
              <w:t>纯</w:t>
            </w:r>
            <w:r>
              <w:rPr>
                <w:rFonts w:ascii="仿宋_GB2312" w:hAnsi="仿宋_GB2312" w:cs="仿宋_GB2312" w:eastAsia="仿宋_GB2312"/>
                <w:sz w:val="21"/>
                <w:b/>
                <w:u w:val="single"/>
              </w:rPr>
              <w:t>电动餐厨垃圾车</w:t>
            </w:r>
            <w:r>
              <w:rPr>
                <w:rFonts w:ascii="仿宋_GB2312" w:hAnsi="仿宋_GB2312" w:cs="仿宋_GB2312" w:eastAsia="仿宋_GB2312"/>
                <w:b/>
                <w:u w:val="single"/>
              </w:rPr>
              <w:t xml:space="preserve"> </w:t>
            </w:r>
            <w:r>
              <w:rPr>
                <w:rFonts w:ascii="仿宋_GB2312" w:hAnsi="仿宋_GB2312" w:cs="仿宋_GB2312" w:eastAsia="仿宋_GB2312"/>
                <w:sz w:val="20"/>
                <w:b/>
              </w:rPr>
              <w:t>。</w:t>
            </w:r>
          </w:p>
          <w:p>
            <w:pPr>
              <w:pStyle w:val="null3"/>
              <w:jc w:val="both"/>
            </w:pPr>
            <w:r>
              <w:rPr>
                <w:rFonts w:ascii="仿宋_GB2312" w:hAnsi="仿宋_GB2312" w:cs="仿宋_GB2312" w:eastAsia="仿宋_GB2312"/>
                <w:sz w:val="20"/>
                <w:b/>
              </w:rPr>
              <w:t>2.1.3 下列产品为强制采购的节能产品（如有）：</w:t>
            </w:r>
            <w:r>
              <w:rPr>
                <w:rFonts w:ascii="仿宋_GB2312" w:hAnsi="仿宋_GB2312" w:cs="仿宋_GB2312" w:eastAsia="仿宋_GB2312"/>
                <w:b/>
                <w:u w:val="single"/>
              </w:rPr>
              <w:t xml:space="preserve">     </w:t>
            </w:r>
            <w:r>
              <w:rPr>
                <w:rFonts w:ascii="仿宋_GB2312" w:hAnsi="仿宋_GB2312" w:cs="仿宋_GB2312" w:eastAsia="仿宋_GB2312"/>
                <w:sz w:val="20"/>
                <w:b/>
                <w:u w:val="single"/>
              </w:rPr>
              <w:t>/</w:t>
            </w:r>
            <w:r>
              <w:rPr>
                <w:rFonts w:ascii="仿宋_GB2312" w:hAnsi="仿宋_GB2312" w:cs="仿宋_GB2312" w:eastAsia="仿宋_GB2312"/>
                <w:b/>
                <w:u w:val="single"/>
              </w:rPr>
              <w:t xml:space="preserve">     </w:t>
            </w:r>
            <w:r>
              <w:rPr>
                <w:rFonts w:ascii="仿宋_GB2312" w:hAnsi="仿宋_GB2312" w:cs="仿宋_GB2312" w:eastAsia="仿宋_GB2312"/>
                <w:sz w:val="20"/>
                <w:b/>
              </w:rPr>
              <w:t>。</w:t>
            </w:r>
          </w:p>
          <w:p>
            <w:pPr>
              <w:pStyle w:val="null3"/>
              <w:jc w:val="both"/>
            </w:pPr>
            <w:r>
              <w:rPr>
                <w:rFonts w:ascii="仿宋_GB2312" w:hAnsi="仿宋_GB2312" w:cs="仿宋_GB2312" w:eastAsia="仿宋_GB2312"/>
                <w:sz w:val="20"/>
                <w:b/>
              </w:rPr>
              <w:t>2.1.4 货物技术要求</w:t>
            </w:r>
          </w:p>
          <w:p>
            <w:pPr>
              <w:pStyle w:val="null3"/>
              <w:spacing w:before="105" w:after="105"/>
              <w:jc w:val="left"/>
            </w:pPr>
            <w:r>
              <w:rPr>
                <w:rFonts w:ascii="仿宋_GB2312" w:hAnsi="仿宋_GB2312" w:cs="仿宋_GB2312" w:eastAsia="仿宋_GB2312"/>
                <w:sz w:val="20"/>
                <w:b/>
              </w:rPr>
              <w:t>（一）主要技术参数要求：</w:t>
            </w:r>
          </w:p>
          <w:p>
            <w:pPr>
              <w:pStyle w:val="null3"/>
              <w:spacing w:before="105" w:after="105"/>
              <w:jc w:val="left"/>
            </w:pPr>
            <w:r>
              <w:rPr>
                <w:rFonts w:ascii="仿宋_GB2312" w:hAnsi="仿宋_GB2312" w:cs="仿宋_GB2312" w:eastAsia="仿宋_GB2312"/>
              </w:rPr>
              <w:t>1</w:t>
            </w:r>
            <w:r>
              <w:rPr>
                <w:rFonts w:ascii="仿宋_GB2312" w:hAnsi="仿宋_GB2312" w:cs="仿宋_GB2312" w:eastAsia="仿宋_GB2312"/>
              </w:rPr>
              <w:t>．底盘：新能源底盘；</w:t>
            </w:r>
          </w:p>
          <w:p>
            <w:pPr>
              <w:pStyle w:val="null3"/>
              <w:spacing w:before="105" w:after="105"/>
              <w:jc w:val="left"/>
            </w:pPr>
            <w:r>
              <w:rPr>
                <w:rFonts w:ascii="仿宋_GB2312" w:hAnsi="仿宋_GB2312" w:cs="仿宋_GB2312" w:eastAsia="仿宋_GB2312"/>
              </w:rPr>
              <w:t>▲2．电池电量：≥155 kwh；</w:t>
            </w:r>
          </w:p>
          <w:p>
            <w:pPr>
              <w:pStyle w:val="null3"/>
            </w:pPr>
            <w:r>
              <w:rPr>
                <w:rFonts w:ascii="仿宋_GB2312" w:hAnsi="仿宋_GB2312" w:cs="仿宋_GB2312" w:eastAsia="仿宋_GB2312"/>
              </w:rPr>
              <w:t>▲3．电机峰值功率：≥160 kW；</w:t>
            </w:r>
          </w:p>
          <w:p>
            <w:pPr>
              <w:pStyle w:val="null3"/>
            </w:pPr>
            <w:r>
              <w:rPr>
                <w:rFonts w:ascii="仿宋_GB2312" w:hAnsi="仿宋_GB2312" w:cs="仿宋_GB2312" w:eastAsia="仿宋_GB2312"/>
              </w:rPr>
              <w:t>4．总质量：≥11995 ㎏：</w:t>
            </w:r>
          </w:p>
          <w:p>
            <w:pPr>
              <w:pStyle w:val="null3"/>
            </w:pPr>
            <w:r>
              <w:rPr>
                <w:rFonts w:ascii="仿宋_GB2312" w:hAnsi="仿宋_GB2312" w:cs="仿宋_GB2312" w:eastAsia="仿宋_GB2312"/>
              </w:rPr>
              <w:t>5．额定载质量：≥4800 ㎏；</w:t>
            </w:r>
          </w:p>
          <w:p>
            <w:pPr>
              <w:pStyle w:val="null3"/>
            </w:pPr>
            <w:r>
              <w:rPr>
                <w:rFonts w:ascii="仿宋_GB2312" w:hAnsi="仿宋_GB2312" w:cs="仿宋_GB2312" w:eastAsia="仿宋_GB2312"/>
              </w:rPr>
              <w:t>▲6 ．整车长：≥6500(㎜);</w:t>
            </w:r>
          </w:p>
          <w:p>
            <w:pPr>
              <w:pStyle w:val="null3"/>
            </w:pPr>
            <w:r>
              <w:rPr>
                <w:rFonts w:ascii="仿宋_GB2312" w:hAnsi="仿宋_GB2312" w:cs="仿宋_GB2312" w:eastAsia="仿宋_GB2312"/>
              </w:rPr>
              <w:t>▲7 .整车宽：≤2350(㎜);</w:t>
            </w:r>
          </w:p>
          <w:p>
            <w:pPr>
              <w:pStyle w:val="null3"/>
            </w:pPr>
            <w:r>
              <w:rPr>
                <w:rFonts w:ascii="仿宋_GB2312" w:hAnsi="仿宋_GB2312" w:cs="仿宋_GB2312" w:eastAsia="仿宋_GB2312"/>
              </w:rPr>
              <w:t>▲8 .整车高：≤2800(㎜);</w:t>
            </w:r>
          </w:p>
          <w:p>
            <w:pPr>
              <w:pStyle w:val="null3"/>
            </w:pPr>
            <w:r>
              <w:rPr>
                <w:rFonts w:ascii="仿宋_GB2312" w:hAnsi="仿宋_GB2312" w:cs="仿宋_GB2312" w:eastAsia="仿宋_GB2312"/>
              </w:rPr>
              <w:t>▲9 .前悬/后悬：≥1110/1550(㎜)；</w:t>
            </w:r>
          </w:p>
          <w:p>
            <w:pPr>
              <w:pStyle w:val="null3"/>
            </w:pPr>
            <w:r>
              <w:rPr>
                <w:rFonts w:ascii="仿宋_GB2312" w:hAnsi="仿宋_GB2312" w:cs="仿宋_GB2312" w:eastAsia="仿宋_GB2312"/>
              </w:rPr>
              <w:t>▲10 .最高车速：≥89（km/h）</w:t>
            </w:r>
          </w:p>
          <w:p>
            <w:pPr>
              <w:pStyle w:val="null3"/>
            </w:pPr>
            <w:r>
              <w:rPr>
                <w:rFonts w:ascii="仿宋_GB2312" w:hAnsi="仿宋_GB2312" w:cs="仿宋_GB2312" w:eastAsia="仿宋_GB2312"/>
              </w:rPr>
              <w:t>▲11．垃圾箱有效容积：≥7.5 m³ ;</w:t>
            </w:r>
          </w:p>
          <w:p>
            <w:pPr>
              <w:pStyle w:val="null3"/>
            </w:pPr>
            <w:r>
              <w:rPr>
                <w:rFonts w:ascii="仿宋_GB2312" w:hAnsi="仿宋_GB2312" w:cs="仿宋_GB2312" w:eastAsia="仿宋_GB2312"/>
              </w:rPr>
              <w:t>12．上料循环时间：≤24s；</w:t>
            </w:r>
          </w:p>
          <w:p>
            <w:pPr>
              <w:pStyle w:val="null3"/>
            </w:pPr>
            <w:r>
              <w:rPr>
                <w:rFonts w:ascii="仿宋_GB2312" w:hAnsi="仿宋_GB2312" w:cs="仿宋_GB2312" w:eastAsia="仿宋_GB2312"/>
              </w:rPr>
              <w:t>13．排料时间：≤70s；</w:t>
            </w:r>
          </w:p>
          <w:p>
            <w:pPr>
              <w:pStyle w:val="null3"/>
            </w:pPr>
            <w:r>
              <w:rPr>
                <w:rFonts w:ascii="仿宋_GB2312" w:hAnsi="仿宋_GB2312" w:cs="仿宋_GB2312" w:eastAsia="仿宋_GB2312"/>
              </w:rPr>
              <w:t>（二）主要性能要求：</w:t>
            </w:r>
          </w:p>
          <w:p>
            <w:pPr>
              <w:pStyle w:val="null3"/>
            </w:pPr>
            <w:r>
              <w:rPr>
                <w:rFonts w:ascii="仿宋_GB2312" w:hAnsi="仿宋_GB2312" w:cs="仿宋_GB2312" w:eastAsia="仿宋_GB2312"/>
              </w:rPr>
              <w:t>1．电控系统采用 CAN 总线+运动控制器的方式，可一键自动卸料；</w:t>
            </w:r>
          </w:p>
          <w:p>
            <w:pPr>
              <w:pStyle w:val="null3"/>
            </w:pPr>
            <w:r>
              <w:rPr>
                <w:rFonts w:ascii="仿宋_GB2312" w:hAnsi="仿宋_GB2312" w:cs="仿宋_GB2312" w:eastAsia="仿宋_GB2312"/>
              </w:rPr>
              <w:t>2. 进料口采用密封盖密封，随收集装置联动启闭。箱体分上下两腔，上腔为固体垃圾箱，下腔是沉淀水箱；</w:t>
            </w:r>
          </w:p>
          <w:p>
            <w:pPr>
              <w:pStyle w:val="null3"/>
            </w:pPr>
            <w:r>
              <w:rPr>
                <w:rFonts w:ascii="仿宋_GB2312" w:hAnsi="仿宋_GB2312" w:cs="仿宋_GB2312" w:eastAsia="仿宋_GB2312"/>
              </w:rPr>
              <w:t>3．采用链条式收集装置，装置易清理维护；趟板置于链条外侧。顶门与链条机构互锁；</w:t>
            </w:r>
          </w:p>
          <w:p>
            <w:pPr>
              <w:pStyle w:val="null3"/>
            </w:pPr>
            <w:r>
              <w:rPr>
                <w:rFonts w:ascii="仿宋_GB2312" w:hAnsi="仿宋_GB2312" w:cs="仿宋_GB2312" w:eastAsia="仿宋_GB2312"/>
              </w:rPr>
              <w:t>4．提桶机构、推板机构具备按顺序联动功能：推板没有回位时，提升装置不工作，并发出警示，提升装置只有在确认推板已回位情况下才能开始进行装载垃圾工作；设置急停保护开关；</w:t>
            </w:r>
          </w:p>
          <w:p>
            <w:pPr>
              <w:pStyle w:val="null3"/>
            </w:pPr>
            <w:r>
              <w:rPr>
                <w:rFonts w:ascii="仿宋_GB2312" w:hAnsi="仿宋_GB2312" w:cs="仿宋_GB2312" w:eastAsia="仿宋_GB2312"/>
              </w:rPr>
              <w:t>5．后门启闭油缸水平侧置，箱体与后门之间密封采用整圈免涂胶密封条，多孔截面；竖直插销式锁紧，液压/机械双重锁紧保障，杜绝二次污染；</w:t>
            </w:r>
          </w:p>
          <w:p>
            <w:pPr>
              <w:pStyle w:val="null3"/>
            </w:pPr>
            <w:r>
              <w:rPr>
                <w:rFonts w:ascii="仿宋_GB2312" w:hAnsi="仿宋_GB2312" w:cs="仿宋_GB2312" w:eastAsia="仿宋_GB2312"/>
              </w:rPr>
              <w:t>6．液压系统增加提桶二级保护功能，防止用户超载使用或轨道卡滞造成的结构件损坏，在多路阀入口处增加一个压力传感器，为电气的自动控制提供信号；</w:t>
            </w:r>
          </w:p>
          <w:p>
            <w:pPr>
              <w:pStyle w:val="null3"/>
            </w:pPr>
            <w:r>
              <w:rPr>
                <w:rFonts w:ascii="仿宋_GB2312" w:hAnsi="仿宋_GB2312" w:cs="仿宋_GB2312" w:eastAsia="仿宋_GB2312"/>
              </w:rPr>
              <w:t>7．车辆配备后门安全撑杆，能在维护作业时提供可靠安全防护；</w:t>
            </w:r>
          </w:p>
          <w:p>
            <w:pPr>
              <w:pStyle w:val="null3"/>
            </w:pPr>
            <w:r>
              <w:rPr>
                <w:rFonts w:ascii="仿宋_GB2312" w:hAnsi="仿宋_GB2312" w:cs="仿宋_GB2312" w:eastAsia="仿宋_GB2312"/>
              </w:rPr>
              <w:t>8．车辆配备后门关闭感应器，后门关闭，感应器得电才允许插下后门插销，避免因误操作损坏设备；</w:t>
            </w:r>
          </w:p>
          <w:p>
            <w:pPr>
              <w:pStyle w:val="null3"/>
            </w:pPr>
            <w:r>
              <w:rPr>
                <w:rFonts w:ascii="仿宋_GB2312" w:hAnsi="仿宋_GB2312" w:cs="仿宋_GB2312" w:eastAsia="仿宋_GB2312"/>
              </w:rPr>
              <w:t>9．垃圾箱采用 304 不锈钢材质。</w:t>
            </w:r>
          </w:p>
          <w:p>
            <w:pPr>
              <w:pStyle w:val="null3"/>
            </w:pPr>
            <w:r>
              <w:rPr>
                <w:rFonts w:ascii="仿宋_GB2312" w:hAnsi="仿宋_GB2312" w:cs="仿宋_GB2312" w:eastAsia="仿宋_GB2312"/>
              </w:rPr>
              <w:t>10. 提供智慧环卫装备管理平台使用服务，可查看定位轨迹、能耗统计、工况、故障诊断及报警等数据，平台支持对车辆充电统计、维保、保险、年检在线管理。</w:t>
            </w:r>
          </w:p>
          <w:p>
            <w:pPr>
              <w:pStyle w:val="null3"/>
            </w:pPr>
            <w:r>
              <w:rPr>
                <w:rFonts w:ascii="仿宋_GB2312" w:hAnsi="仿宋_GB2312" w:cs="仿宋_GB2312" w:eastAsia="仿宋_GB2312"/>
              </w:rPr>
              <w:t>11. 按采购人要求制作车辆涂装。</w:t>
            </w:r>
          </w:p>
          <w:p>
            <w:pPr>
              <w:pStyle w:val="null3"/>
            </w:pPr>
            <w:r>
              <w:rPr>
                <w:rFonts w:ascii="仿宋_GB2312" w:hAnsi="仿宋_GB2312" w:cs="仿宋_GB2312" w:eastAsia="仿宋_GB2312"/>
              </w:rPr>
              <w:t>12. 提供8台双头充电桩，乙方包安装，包质保期内的维护维修，为国内主流品牌。随车赠送的充电桩必须具备有效的CCC强制性产品认证证书并标注CCC标志，具体参数如下：</w:t>
            </w:r>
          </w:p>
          <w:p>
            <w:pPr>
              <w:pStyle w:val="null3"/>
            </w:pPr>
            <w:r>
              <w:rPr>
                <w:rFonts w:ascii="仿宋_GB2312" w:hAnsi="仿宋_GB2312" w:cs="仿宋_GB2312" w:eastAsia="仿宋_GB2312"/>
              </w:rPr>
              <w:t>（1）额定功率:≥160kW</w:t>
            </w:r>
          </w:p>
          <w:p>
            <w:pPr>
              <w:pStyle w:val="null3"/>
            </w:pPr>
            <w:r>
              <w:rPr>
                <w:rFonts w:ascii="仿宋_GB2312" w:hAnsi="仿宋_GB2312" w:cs="仿宋_GB2312" w:eastAsia="仿宋_GB2312"/>
              </w:rPr>
              <w:t>（2）安装方式:立式</w:t>
            </w:r>
          </w:p>
          <w:p>
            <w:pPr>
              <w:pStyle w:val="null3"/>
            </w:pPr>
            <w:r>
              <w:rPr>
                <w:rFonts w:ascii="仿宋_GB2312" w:hAnsi="仿宋_GB2312" w:cs="仿宋_GB2312" w:eastAsia="仿宋_GB2312"/>
              </w:rPr>
              <w:t>（3）单枪输出最大电流:≥250A</w:t>
            </w:r>
          </w:p>
          <w:p>
            <w:pPr>
              <w:pStyle w:val="null3"/>
            </w:pPr>
            <w:r>
              <w:rPr>
                <w:rFonts w:ascii="仿宋_GB2312" w:hAnsi="仿宋_GB2312" w:cs="仿宋_GB2312" w:eastAsia="仿宋_GB2312"/>
              </w:rPr>
              <w:t>（4）线缆长度:≥5m</w:t>
            </w:r>
          </w:p>
          <w:p>
            <w:pPr>
              <w:pStyle w:val="null3"/>
            </w:pPr>
            <w:r>
              <w:rPr>
                <w:rFonts w:ascii="仿宋_GB2312" w:hAnsi="仿宋_GB2312" w:cs="仿宋_GB2312" w:eastAsia="仿宋_GB2312"/>
              </w:rPr>
              <w:t>（5）计量精度:1级</w:t>
            </w:r>
          </w:p>
          <w:p>
            <w:pPr>
              <w:pStyle w:val="null3"/>
            </w:pPr>
            <w:r>
              <w:rPr>
                <w:rFonts w:ascii="仿宋_GB2312" w:hAnsi="仿宋_GB2312" w:cs="仿宋_GB2312" w:eastAsia="仿宋_GB2312"/>
              </w:rPr>
              <w:t>（6）稳压精度:≤±0.5%</w:t>
            </w:r>
          </w:p>
          <w:p>
            <w:pPr>
              <w:pStyle w:val="null3"/>
            </w:pPr>
            <w:r>
              <w:rPr>
                <w:rFonts w:ascii="仿宋_GB2312" w:hAnsi="仿宋_GB2312" w:cs="仿宋_GB2312" w:eastAsia="仿宋_GB2312"/>
              </w:rPr>
              <w:t>（7）稳流精度:≤±1%</w:t>
            </w:r>
          </w:p>
          <w:p>
            <w:pPr>
              <w:pStyle w:val="null3"/>
            </w:pPr>
            <w:r>
              <w:rPr>
                <w:rFonts w:ascii="仿宋_GB2312" w:hAnsi="仿宋_GB2312" w:cs="仿宋_GB2312" w:eastAsia="仿宋_GB2312"/>
              </w:rPr>
              <w:t>（8）效率:≥95%</w:t>
            </w:r>
          </w:p>
          <w:p>
            <w:pPr>
              <w:pStyle w:val="null3"/>
            </w:pPr>
            <w:r>
              <w:rPr>
                <w:rFonts w:ascii="仿宋_GB2312" w:hAnsi="仿宋_GB2312" w:cs="仿宋_GB2312" w:eastAsia="仿宋_GB2312"/>
              </w:rPr>
              <w:t>（9）人机界面≥7寸彩色显示触摸屏</w:t>
            </w:r>
          </w:p>
          <w:p>
            <w:pPr>
              <w:pStyle w:val="null3"/>
            </w:pPr>
            <w:r>
              <w:rPr>
                <w:rFonts w:ascii="仿宋_GB2312" w:hAnsi="仿宋_GB2312" w:cs="仿宋_GB2312" w:eastAsia="仿宋_GB2312"/>
              </w:rPr>
              <w:t>（10）执行标准:GB/T20234、GB/T18487、GB/T27930、NB/T33008、NB/T33001</w:t>
            </w:r>
          </w:p>
          <w:p>
            <w:pPr>
              <w:pStyle w:val="null3"/>
            </w:pPr>
            <w:r>
              <w:rPr>
                <w:rFonts w:ascii="仿宋_GB2312" w:hAnsi="仿宋_GB2312" w:cs="仿宋_GB2312" w:eastAsia="仿宋_GB2312"/>
              </w:rPr>
              <w:t>（11）充电枪:温度检测、过压保护、欠压保护、过载保护、短路保护、接地保护、过温保护、低温保护、绝缘监测保护、极性反接保护、防雷保护、急停保护、漏电保护</w:t>
            </w:r>
          </w:p>
          <w:p>
            <w:pPr>
              <w:pStyle w:val="null3"/>
            </w:pPr>
            <w:r>
              <w:rPr>
                <w:rFonts w:ascii="仿宋_GB2312" w:hAnsi="仿宋_GB2312" w:cs="仿宋_GB2312" w:eastAsia="仿宋_GB2312"/>
              </w:rPr>
              <w:t>（12）防护等级≥IP54。</w:t>
            </w:r>
          </w:p>
          <w:p>
            <w:pPr>
              <w:pStyle w:val="null3"/>
              <w:spacing w:before="105" w:after="105"/>
              <w:jc w:val="left"/>
            </w:pPr>
            <w:r>
              <w:rPr>
                <w:rFonts w:ascii="仿宋_GB2312" w:hAnsi="仿宋_GB2312" w:cs="仿宋_GB2312" w:eastAsia="仿宋_GB2312"/>
              </w:rPr>
              <w:t>（三）主要服务要求：</w:t>
            </w:r>
          </w:p>
          <w:p>
            <w:pPr>
              <w:pStyle w:val="null3"/>
              <w:spacing w:before="105" w:after="105"/>
              <w:jc w:val="left"/>
            </w:pPr>
            <w:r>
              <w:rPr>
                <w:rFonts w:ascii="仿宋_GB2312" w:hAnsi="仿宋_GB2312" w:cs="仿宋_GB2312" w:eastAsia="仿宋_GB2312"/>
              </w:rPr>
              <w:t xml:space="preserve">  确保所提供的清运车质量合格，性能稳定，符合相关的行业标准和合同规定的质量标准。提供完整的车辆配置，包括但不限于车辆主体、配套设备（充电桩等）、工具、说明书等。在合同约定的期限内，提供优质的售后服务，包括维修、保养、零部件更换等，确保车辆的正常运行。保证车辆的生产、销售和交付过程符合相关法律法规和政策要求。对于采购方在使用过程中发现的质量问题，积极采取措施予以解决，并承担相应的费用和责任。积极配合采购方进行车辆的验收工作，提供必要的技术资料和协助。</w:t>
            </w:r>
          </w:p>
          <w:p>
            <w:pPr>
              <w:pStyle w:val="null3"/>
              <w:jc w:val="both"/>
            </w:pPr>
            <w:r>
              <w:rPr>
                <w:rFonts w:ascii="仿宋_GB2312" w:hAnsi="仿宋_GB2312" w:cs="仿宋_GB2312" w:eastAsia="仿宋_GB2312"/>
                <w:sz w:val="20"/>
                <w:b/>
              </w:rPr>
              <w:t>2.1.1  质量要求</w:t>
            </w:r>
          </w:p>
          <w:p>
            <w:pPr>
              <w:pStyle w:val="null3"/>
              <w:jc w:val="both"/>
            </w:pPr>
            <w:r>
              <w:rPr>
                <w:rFonts w:ascii="仿宋_GB2312" w:hAnsi="仿宋_GB2312" w:cs="仿宋_GB2312" w:eastAsia="仿宋_GB2312"/>
                <w:sz w:val="20"/>
              </w:rPr>
              <w:t>★2.1.1.1 货物（产品）制造商、经销代理商应严格遵守《中华人民共和国产品质量法》，确保提供的产品符合质量标准，达到合格产品的要求。可能危及人体健康和人身、财产安全的工业产品，必须符合保障人体健康和人身、财产安全的国家标准、行业标准；未制定国家标准、行业标准的，必须符合保障人体健康和人身、财产安全的要求。</w:t>
            </w:r>
          </w:p>
          <w:p>
            <w:pPr>
              <w:pStyle w:val="null3"/>
              <w:jc w:val="both"/>
            </w:pPr>
            <w:r>
              <w:rPr>
                <w:rFonts w:ascii="仿宋_GB2312" w:hAnsi="仿宋_GB2312" w:cs="仿宋_GB2312" w:eastAsia="仿宋_GB2312"/>
                <w:sz w:val="20"/>
                <w:b/>
              </w:rPr>
              <w:t>2.1.1.2  货物（产品）执行的标准、规范：</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1）国家标准、规范</w:t>
            </w:r>
            <w:r>
              <w:rPr>
                <w:rFonts w:ascii="仿宋_GB2312" w:hAnsi="仿宋_GB2312" w:cs="仿宋_GB2312" w:eastAsia="仿宋_GB2312"/>
                <w:u w:val="single"/>
              </w:rPr>
              <w:t xml:space="preserve">           </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2）行业标准、规范</w:t>
            </w:r>
            <w:r>
              <w:rPr>
                <w:rFonts w:ascii="仿宋_GB2312" w:hAnsi="仿宋_GB2312" w:cs="仿宋_GB2312" w:eastAsia="仿宋_GB2312"/>
                <w:u w:val="single"/>
              </w:rPr>
              <w:t xml:space="preserve">           </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3）地方标准、规范</w:t>
            </w:r>
            <w:r>
              <w:rPr>
                <w:rFonts w:ascii="仿宋_GB2312" w:hAnsi="仿宋_GB2312" w:cs="仿宋_GB2312" w:eastAsia="仿宋_GB2312"/>
                <w:u w:val="single"/>
              </w:rPr>
              <w:t xml:space="preserve">           </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4）团体标准、规范</w:t>
            </w:r>
            <w:r>
              <w:rPr>
                <w:rFonts w:ascii="仿宋_GB2312" w:hAnsi="仿宋_GB2312" w:cs="仿宋_GB2312" w:eastAsia="仿宋_GB2312"/>
                <w:u w:val="single"/>
              </w:rPr>
              <w:t xml:space="preserve">           </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5）企业标准、规范</w:t>
            </w:r>
            <w:r>
              <w:rPr>
                <w:rFonts w:ascii="仿宋_GB2312" w:hAnsi="仿宋_GB2312" w:cs="仿宋_GB2312" w:eastAsia="仿宋_GB2312"/>
                <w:u w:val="single"/>
              </w:rPr>
              <w:t xml:space="preserve">           </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b/>
              </w:rPr>
              <w:t>2.1.1.3 本章第2.1.1.2条款未明确货物（产品）执行标准、规范的，则按下列方法选择：</w:t>
            </w:r>
          </w:p>
          <w:p>
            <w:pPr>
              <w:pStyle w:val="null3"/>
              <w:jc w:val="both"/>
            </w:pPr>
            <w:r>
              <w:rPr>
                <w:rFonts w:ascii="仿宋_GB2312" w:hAnsi="仿宋_GB2312" w:cs="仿宋_GB2312" w:eastAsia="仿宋_GB2312"/>
                <w:sz w:val="20"/>
              </w:rPr>
              <w:t>□ 顺序执行：国家标准→行业标准→地方标准→团体标准→企业标准（有国家标准按国家标准执行，没有国家标准按行业标准，以此类推）；</w:t>
            </w:r>
          </w:p>
          <w:p>
            <w:pPr>
              <w:pStyle w:val="null3"/>
              <w:jc w:val="both"/>
            </w:pPr>
            <w:r>
              <w:rPr>
                <w:rFonts w:ascii="仿宋_GB2312" w:hAnsi="仿宋_GB2312" w:cs="仿宋_GB2312" w:eastAsia="仿宋_GB2312"/>
                <w:sz w:val="20"/>
              </w:rPr>
              <w:t>□ 最高标准执行：国家标准，行业标准，地方标准，团体标准，企业标准（那个标准高执行那个标准）；</w:t>
            </w:r>
          </w:p>
          <w:p>
            <w:pPr>
              <w:pStyle w:val="null3"/>
              <w:jc w:val="both"/>
            </w:pPr>
            <w:r>
              <w:rPr>
                <w:rFonts w:ascii="仿宋_GB2312" w:hAnsi="仿宋_GB2312" w:cs="仿宋_GB2312" w:eastAsia="仿宋_GB2312"/>
                <w:sz w:val="21"/>
              </w:rPr>
              <w:t>√</w:t>
            </w:r>
            <w:r>
              <w:rPr>
                <w:rFonts w:ascii="仿宋_GB2312" w:hAnsi="仿宋_GB2312" w:cs="仿宋_GB2312" w:eastAsia="仿宋_GB2312"/>
                <w:sz w:val="20"/>
              </w:rPr>
              <w:t xml:space="preserve"> </w:t>
            </w:r>
            <w:r>
              <w:rPr>
                <w:rFonts w:ascii="仿宋_GB2312" w:hAnsi="仿宋_GB2312" w:cs="仿宋_GB2312" w:eastAsia="仿宋_GB2312"/>
                <w:sz w:val="20"/>
              </w:rPr>
              <w:t>必须执行：国家、行业强制性标准。</w:t>
            </w:r>
          </w:p>
          <w:p>
            <w:pPr>
              <w:pStyle w:val="null3"/>
              <w:jc w:val="both"/>
            </w:pPr>
            <w:r>
              <w:rPr>
                <w:rFonts w:ascii="仿宋_GB2312" w:hAnsi="仿宋_GB2312" w:cs="仿宋_GB2312" w:eastAsia="仿宋_GB2312"/>
                <w:sz w:val="20"/>
              </w:rPr>
              <w:t>2.1.1.4 核心产品制造商符合ISO系列管理体系认证要求的，可以提供认证证书。</w:t>
            </w:r>
          </w:p>
          <w:p>
            <w:pPr>
              <w:pStyle w:val="null3"/>
              <w:jc w:val="both"/>
            </w:pPr>
            <w:r>
              <w:rPr>
                <w:rFonts w:ascii="仿宋_GB2312" w:hAnsi="仿宋_GB2312" w:cs="仿宋_GB2312" w:eastAsia="仿宋_GB2312"/>
                <w:sz w:val="20"/>
                <w:b/>
              </w:rPr>
              <w:t>2.1.2安全要求</w:t>
            </w:r>
          </w:p>
          <w:p>
            <w:pPr>
              <w:pStyle w:val="null3"/>
              <w:ind w:firstLine="420"/>
              <w:jc w:val="both"/>
            </w:pPr>
            <w:r>
              <w:rPr>
                <w:rFonts w:ascii="仿宋_GB2312" w:hAnsi="仿宋_GB2312" w:cs="仿宋_GB2312" w:eastAsia="仿宋_GB2312"/>
                <w:sz w:val="20"/>
              </w:rPr>
              <w:t>认真贯彻执行国家及省、市有关安全文明生产的法律法规规章和强制性标准、安全操作规程等，建立健全安装现场安全文明生产保证体系，落实各项具体措施，切实履行安全文明生产责任和义务，保护职工身体健康和生命安全，以及社会公众安全，保护环境卫生，保持安装现场整齐有序，做到文明施工。</w:t>
            </w:r>
          </w:p>
          <w:p>
            <w:pPr>
              <w:pStyle w:val="null3"/>
              <w:spacing w:before="120" w:after="120"/>
              <w:ind w:right="45"/>
              <w:jc w:val="both"/>
            </w:pPr>
            <w:r>
              <w:rPr>
                <w:rFonts w:ascii="仿宋_GB2312" w:hAnsi="仿宋_GB2312" w:cs="仿宋_GB2312" w:eastAsia="仿宋_GB2312"/>
                <w:sz w:val="20"/>
                <w:b/>
              </w:rPr>
              <w:t>2.2 商务要求</w:t>
            </w:r>
            <w:r>
              <w:rPr>
                <w:rFonts w:ascii="仿宋_GB2312" w:hAnsi="仿宋_GB2312" w:cs="仿宋_GB2312" w:eastAsia="仿宋_GB2312"/>
                <w:sz w:val="20"/>
                <w:b/>
              </w:rPr>
              <w:t>（</w:t>
            </w:r>
            <w:r>
              <w:rPr>
                <w:rFonts w:ascii="仿宋_GB2312" w:hAnsi="仿宋_GB2312" w:cs="仿宋_GB2312" w:eastAsia="仿宋_GB2312"/>
                <w:sz w:val="20"/>
                <w:b/>
              </w:rPr>
              <w:t>带有</w:t>
            </w:r>
            <w:r>
              <w:rPr>
                <w:rFonts w:ascii="仿宋_GB2312" w:hAnsi="仿宋_GB2312" w:cs="仿宋_GB2312" w:eastAsia="仿宋_GB2312"/>
                <w:sz w:val="20"/>
                <w:b/>
              </w:rPr>
              <w:t>★号的商务要求为实质性条款不得有偏差。</w:t>
            </w:r>
            <w:r>
              <w:rPr>
                <w:rFonts w:ascii="仿宋_GB2312" w:hAnsi="仿宋_GB2312" w:cs="仿宋_GB2312" w:eastAsia="仿宋_GB2312"/>
                <w:sz w:val="20"/>
                <w:b/>
              </w:rPr>
              <w:t>）</w:t>
            </w:r>
          </w:p>
          <w:p>
            <w:pPr>
              <w:pStyle w:val="null3"/>
              <w:spacing w:before="120" w:after="120"/>
              <w:jc w:val="both"/>
            </w:pPr>
            <w:r>
              <w:rPr>
                <w:rFonts w:ascii="仿宋_GB2312" w:hAnsi="仿宋_GB2312" w:cs="仿宋_GB2312" w:eastAsia="仿宋_GB2312"/>
                <w:sz w:val="20"/>
                <w:b/>
              </w:rPr>
              <w:t>★2.2.1</w:t>
            </w:r>
          </w:p>
          <w:p>
            <w:pPr>
              <w:pStyle w:val="null3"/>
              <w:jc w:val="left"/>
            </w:pPr>
            <w:r>
              <w:rPr>
                <w:rFonts w:ascii="仿宋_GB2312" w:hAnsi="仿宋_GB2312" w:cs="仿宋_GB2312" w:eastAsia="仿宋_GB2312"/>
                <w:sz w:val="20"/>
                <w:b/>
              </w:rPr>
              <w:t>(</w:t>
            </w:r>
            <w:r>
              <w:rPr>
                <w:rFonts w:ascii="仿宋_GB2312" w:hAnsi="仿宋_GB2312" w:cs="仿宋_GB2312" w:eastAsia="仿宋_GB2312"/>
                <w:sz w:val="20"/>
                <w:color w:val="000000"/>
              </w:rPr>
              <w:t>1)交货时间(交货期):自合同签订之日起30日历天内完成供货并交付采购人使用。</w:t>
            </w:r>
          </w:p>
          <w:p>
            <w:pPr>
              <w:pStyle w:val="null3"/>
              <w:jc w:val="left"/>
            </w:pPr>
            <w:r>
              <w:rPr>
                <w:rFonts w:ascii="仿宋_GB2312" w:hAnsi="仿宋_GB2312" w:cs="仿宋_GB2312" w:eastAsia="仿宋_GB2312"/>
                <w:sz w:val="20"/>
                <w:color w:val="000000"/>
              </w:rPr>
              <w:t>(2)交货地点:采购人指定地点</w:t>
            </w:r>
          </w:p>
          <w:p>
            <w:pPr>
              <w:pStyle w:val="null3"/>
              <w:jc w:val="left"/>
            </w:pPr>
            <w:r>
              <w:rPr>
                <w:rFonts w:ascii="仿宋_GB2312" w:hAnsi="仿宋_GB2312" w:cs="仿宋_GB2312" w:eastAsia="仿宋_GB2312"/>
                <w:sz w:val="20"/>
                <w:color w:val="000000"/>
              </w:rPr>
              <w:t>(3)付款条件:全部产品安装调试完毕，达到使用标准并验收合格后20日内，甲方向乙方支付合同总价100%的价款。</w:t>
            </w:r>
          </w:p>
          <w:p>
            <w:pPr>
              <w:pStyle w:val="null3"/>
              <w:jc w:val="left"/>
            </w:pPr>
            <w:r>
              <w:rPr>
                <w:rFonts w:ascii="仿宋_GB2312" w:hAnsi="仿宋_GB2312" w:cs="仿宋_GB2312" w:eastAsia="仿宋_GB2312"/>
                <w:sz w:val="20"/>
                <w:color w:val="000000"/>
              </w:rPr>
              <w:t>(4)运输要求:采用公路或铁路运输方式，选择风险小、运费低和运距短的运输路线。运杂费一次性包死在总价内，采购人不再额外支付，包括从生产厂家到使用(安装)现场的包装、装载、运输、卸载、现场保管、二次倒运等费用。</w:t>
            </w:r>
          </w:p>
          <w:p>
            <w:pPr>
              <w:pStyle w:val="null3"/>
              <w:jc w:val="left"/>
            </w:pPr>
            <w:r>
              <w:rPr>
                <w:rFonts w:ascii="仿宋_GB2312" w:hAnsi="仿宋_GB2312" w:cs="仿宋_GB2312" w:eastAsia="仿宋_GB2312"/>
                <w:sz w:val="20"/>
                <w:color w:val="000000"/>
              </w:rPr>
              <w:t>(5)包装要求:</w:t>
            </w:r>
          </w:p>
          <w:p>
            <w:pPr>
              <w:pStyle w:val="null3"/>
              <w:ind w:firstLine="400"/>
              <w:jc w:val="left"/>
            </w:pPr>
            <w:r>
              <w:rPr>
                <w:rFonts w:ascii="仿宋_GB2312" w:hAnsi="仿宋_GB2312" w:cs="仿宋_GB2312" w:eastAsia="仿宋_GB2312"/>
                <w:sz w:val="20"/>
                <w:color w:val="000000"/>
              </w:rPr>
              <w:t>全部货物</w:t>
            </w:r>
            <w:r>
              <w:rPr>
                <w:rFonts w:ascii="仿宋_GB2312" w:hAnsi="仿宋_GB2312" w:cs="仿宋_GB2312" w:eastAsia="仿宋_GB2312"/>
                <w:sz w:val="20"/>
                <w:color w:val="000000"/>
              </w:rPr>
              <w:t>(产品)均应按照国家、行业规定的标准和保护措施进行包装该包装应适应于远距离运输、防潮、防震、防锈和防野蛮装卸，以确保货物安全运抵指定地点;</w:t>
            </w:r>
          </w:p>
          <w:p>
            <w:pPr>
              <w:pStyle w:val="null3"/>
              <w:jc w:val="both"/>
            </w:pPr>
            <w:r>
              <w:rPr>
                <w:rFonts w:ascii="仿宋_GB2312" w:hAnsi="仿宋_GB2312" w:cs="仿宋_GB2312" w:eastAsia="仿宋_GB2312"/>
                <w:sz w:val="20"/>
                <w:b/>
                <w:color w:val="000000"/>
              </w:rPr>
              <w:t>2.2.2</w:t>
            </w:r>
            <w:r>
              <w:rPr>
                <w:rFonts w:ascii="仿宋_GB2312" w:hAnsi="仿宋_GB2312" w:cs="仿宋_GB2312" w:eastAsia="仿宋_GB2312"/>
                <w:sz w:val="20"/>
                <w:b/>
              </w:rPr>
              <w:t xml:space="preserve"> </w:t>
            </w:r>
            <w:r>
              <w:rPr>
                <w:rFonts w:ascii="仿宋_GB2312" w:hAnsi="仿宋_GB2312" w:cs="仿宋_GB2312" w:eastAsia="仿宋_GB2312"/>
                <w:sz w:val="20"/>
                <w:b/>
              </w:rPr>
              <w:t>售后服务要求：</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b/>
                <w:color w:val="000000"/>
              </w:rPr>
              <w:t>2.2.2.1 基本要求</w:t>
            </w:r>
          </w:p>
          <w:p>
            <w:pPr>
              <w:pStyle w:val="null3"/>
              <w:jc w:val="both"/>
            </w:pPr>
            <w:r>
              <w:rPr>
                <w:rFonts w:ascii="仿宋_GB2312" w:hAnsi="仿宋_GB2312" w:cs="仿宋_GB2312" w:eastAsia="仿宋_GB2312"/>
                <w:sz w:val="20"/>
                <w:color w:val="000000"/>
              </w:rPr>
              <w:t>（</w:t>
            </w:r>
            <w:r>
              <w:rPr>
                <w:rFonts w:ascii="仿宋_GB2312" w:hAnsi="仿宋_GB2312" w:cs="仿宋_GB2312" w:eastAsia="仿宋_GB2312"/>
                <w:sz w:val="20"/>
                <w:color w:val="000000"/>
              </w:rPr>
              <w:t>1）中标人</w:t>
            </w:r>
            <w:r>
              <w:rPr>
                <w:rFonts w:ascii="仿宋_GB2312" w:hAnsi="仿宋_GB2312" w:cs="仿宋_GB2312" w:eastAsia="仿宋_GB2312"/>
                <w:sz w:val="20"/>
              </w:rPr>
              <w:t>须指派专人负责与采购人联系售后服务事宜；</w:t>
            </w:r>
            <w:r>
              <w:rPr>
                <w:rFonts w:ascii="仿宋_GB2312" w:hAnsi="仿宋_GB2312" w:cs="仿宋_GB2312" w:eastAsia="仿宋_GB2312"/>
                <w:sz w:val="20"/>
              </w:rPr>
              <w:t xml:space="preserve">   </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2）中标人负责货物（产品）的现场安装、调试和启动；</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3）中标人负责货物（产品）的安装、启动、运行及维护等对使用人员进行免费培训：培训主要内容为货物的基本结构、性能、主要部件的构造及原理，日常使用操作、维护保养与管理，常见故障的排除、紧急情况的处理等，如使用方未使用过同类型货物，中标人还需就货物的功能对使用方人员进行相应的技术培训，培训地点为货物安装现场或由使用方安排；</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4）质保期自采购人在货物质量验收单（终验）上签名之日起计算，质保费用计入总价；</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5）质保期内，中标人负责对其提供的货物整机质量问题导致的故障负责免费维修，易损易耗件除外；；</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6）货物故障报修的响应时间为：工作期间（星期一至星期五8：00-18：00）为2时；非工作期间为4小时；</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7）中标人在接到甲方通知后须</w:t>
            </w:r>
            <w:r>
              <w:rPr>
                <w:rFonts w:ascii="仿宋_GB2312" w:hAnsi="仿宋_GB2312" w:cs="仿宋_GB2312" w:eastAsia="仿宋_GB2312"/>
                <w:u w:val="single"/>
              </w:rPr>
              <w:t xml:space="preserve"> </w:t>
            </w:r>
            <w:r>
              <w:rPr>
                <w:rFonts w:ascii="仿宋_GB2312" w:hAnsi="仿宋_GB2312" w:cs="仿宋_GB2312" w:eastAsia="仿宋_GB2312"/>
                <w:sz w:val="20"/>
                <w:u w:val="single"/>
              </w:rPr>
              <w:t xml:space="preserve">24 </w:t>
            </w:r>
            <w:r>
              <w:rPr>
                <w:rFonts w:ascii="仿宋_GB2312" w:hAnsi="仿宋_GB2312" w:cs="仿宋_GB2312" w:eastAsia="仿宋_GB2312"/>
                <w:sz w:val="20"/>
              </w:rPr>
              <w:t>小时内完成维修或更换；</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8）质保期内，产品质量问题导致设备发生故障，服务方式根据服务需要可以选择上门服务或车辆进站维修；</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9）质保期结束后的货物维修、维护及费用由双方另行协商；</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10）其它。</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b/>
              </w:rPr>
              <w:t>2.2.2.2产品“三包”要求：</w:t>
            </w:r>
            <w:r>
              <w:rPr>
                <w:rFonts w:ascii="仿宋_GB2312" w:hAnsi="仿宋_GB2312" w:cs="仿宋_GB2312" w:eastAsia="仿宋_GB2312"/>
                <w:sz w:val="20"/>
              </w:rPr>
              <w:t>货物（产品）属于国家规定的</w:t>
            </w:r>
            <w:r>
              <w:rPr>
                <w:rFonts w:ascii="仿宋_GB2312" w:hAnsi="仿宋_GB2312" w:cs="仿宋_GB2312" w:eastAsia="仿宋_GB2312"/>
                <w:sz w:val="20"/>
              </w:rPr>
              <w:t>“三包产品”，产品制造商、经销代理商应遵守“三包”的规定，在产品发生质量问题时，及时对所提供产品实行“包退、包换、保修”服务。</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b/>
              </w:rPr>
              <w:t>2.2.2.3电子电器产品服务要求：</w:t>
            </w:r>
            <w:r>
              <w:rPr>
                <w:rFonts w:ascii="仿宋_GB2312" w:hAnsi="仿宋_GB2312" w:cs="仿宋_GB2312" w:eastAsia="仿宋_GB2312"/>
                <w:sz w:val="20"/>
              </w:rPr>
              <w:t>货物（产品）属于电子电器的，产品制造商、经销代理商应按照《政府采购电子电器服务规范》（</w:t>
            </w:r>
            <w:r>
              <w:rPr>
                <w:rFonts w:ascii="仿宋_GB2312" w:hAnsi="仿宋_GB2312" w:cs="仿宋_GB2312" w:eastAsia="仿宋_GB2312"/>
                <w:sz w:val="20"/>
              </w:rPr>
              <w:t>GB/T 33496-2017）的要求提供服务。</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b/>
              </w:rPr>
              <w:t>2.2.3其他要求：所投车型必须在国家发改委或工信部发布的《</w:t>
            </w:r>
            <w:r>
              <w:rPr>
                <w:rFonts w:ascii="仿宋_GB2312" w:hAnsi="仿宋_GB2312" w:cs="仿宋_GB2312" w:eastAsia="仿宋_GB2312"/>
                <w:sz w:val="20"/>
                <w:b/>
              </w:rPr>
              <w:t>道路机动车辆生产企业及产品公告</w:t>
            </w:r>
            <w:r>
              <w:rPr>
                <w:rFonts w:ascii="仿宋_GB2312" w:hAnsi="仿宋_GB2312" w:cs="仿宋_GB2312" w:eastAsia="仿宋_GB2312"/>
                <w:sz w:val="20"/>
                <w:b/>
              </w:rPr>
              <w:t>》公告内，提供车辆</w:t>
            </w:r>
            <w:r>
              <w:rPr>
                <w:rFonts w:ascii="仿宋_GB2312" w:hAnsi="仿宋_GB2312" w:cs="仿宋_GB2312" w:eastAsia="仿宋_GB2312"/>
                <w:sz w:val="20"/>
                <w:b/>
              </w:rPr>
              <w:t>3C认证。</w:t>
            </w:r>
          </w:p>
          <w:p>
            <w:pPr>
              <w:pStyle w:val="null3"/>
            </w:pPr>
            <w:r>
              <w:rPr>
                <w:rFonts w:ascii="仿宋_GB2312" w:hAnsi="仿宋_GB2312" w:cs="仿宋_GB2312" w:eastAsia="仿宋_GB2312"/>
                <w:sz w:val="20"/>
              </w:rPr>
              <w:t>★</w:t>
            </w:r>
            <w:r>
              <w:rPr>
                <w:rFonts w:ascii="仿宋_GB2312" w:hAnsi="仿宋_GB2312" w:cs="仿宋_GB2312" w:eastAsia="仿宋_GB2312"/>
                <w:sz w:val="20"/>
                <w:b/>
              </w:rPr>
              <w:t>3.其他：</w:t>
            </w:r>
            <w:r>
              <w:rPr>
                <w:rFonts w:ascii="仿宋_GB2312" w:hAnsi="仿宋_GB2312" w:cs="仿宋_GB2312" w:eastAsia="仿宋_GB2312"/>
                <w:sz w:val="20"/>
                <w:b/>
              </w:rPr>
              <w:t>维修要有固定服务站，乙方提供上门服务，新车接收后有培训服务，并</w:t>
            </w:r>
            <w:r>
              <w:rPr>
                <w:rFonts w:ascii="仿宋_GB2312" w:hAnsi="仿宋_GB2312" w:cs="仿宋_GB2312" w:eastAsia="仿宋_GB2312"/>
                <w:sz w:val="20"/>
                <w:b/>
              </w:rPr>
              <w:t>包含</w:t>
            </w:r>
            <w:r>
              <w:rPr>
                <w:rFonts w:ascii="仿宋_GB2312" w:hAnsi="仿宋_GB2312" w:cs="仿宋_GB2312" w:eastAsia="仿宋_GB2312"/>
                <w:sz w:val="20"/>
                <w:b/>
              </w:rPr>
              <w:t>车辆首次和第二次保养。</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自合同签订之日起30天内完成供货并交付采购人使用</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进度款，付款条件说明： 合同签订后，全部产品到货后安装调试完毕，达到使用标准并验收合格后20日内，支付合同总金额的100%。，达到付款条件起20个工作日内，支付合同总金额的100.0%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现行的国家标准或国家行政部门颁布的法律法规、规章制度等，是项目验收的另一个重要依据。没有国家标准的，可以参考行业标准。 所有设备（产品）数量、型号、技术指标及配置等全部按招标文件、投标文件及澄清函等进行验收。各项指标均应符合要求，若所验设备（产品）的指标、性能参数通过验收达不到要求，或在使用中发现采购人不能容忍的缺陷等，将视为设备（产品）验收不合格，投标人应免费更换或退货。</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整车质保期不小于2年（易损易耗件除外），三电系统质保期不小于8年或40万公里，电池系统防水防尘等级达到IP68，充电桩质保期1年。投标人承诺超过招标文件要求的，按其承诺的质保期进行质保，质保期起始时间为终验合格之日。</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一、中标人在领取中标通知书时提供纸质版投标文件1正2副，电子版U盘2份（含完整的带签章的PDF版），应通过专用制作软件直接打印，确保与电子投标文件保持一致，不允许修改和补充。提交地点：陕西省西安市曲江新区杜陵西路中海曲江大城君尚府46幢10404号。 二、中标人的投标报价包括货物（产品）设计、材料、制造、包装、运输、安装、调试、挂牌费、车身外装潢、强险、商业险、缴纳购置税、检测、智慧环卫装备管理平台使用服务费、充电桩的采购及安装、质保期内合同约定范围里的维修费等所有费用，否则将按无效响应处理。 三、分公司独立参与投标时，不能使用总公司的资质或业绩；总公司单独参与投标时，除总公司所投产品为分公司生产的产品外，不能使用分公司的资质或业绩。总公司授权分公司或分支机构参与投标，可以使用总公司的资质或业绩。 四、恶意质疑、投诉的法律后果 1.对捏造事实、提供虚假材料进行质疑、投诉的行为将予以严肃处理： 《政府采购质疑和投诉办法》（财政部令第94号）规定，投诉人在全国范围内十二个月内三次以上投诉查无实据的，由财政部门列入不良行为记录名单。对于捏造事实、或提供虚假材料、或以非法手段取得证明材料（证据来源的合法性存在明显疑问，投诉人无法证明其取得方式合法的，视为以非法手段取得证明材料）进行投诉的，属于虚假、恶意投诉，由财政部门列入不良行为记录名单，并禁止其一至三年内参加政府采购活动。 2.对捏造事实诬告陷害他人、诽谤他人的法律适用： （1）《中华人民共和国刑法》第243条【诬告陷害罪】捏造事实诬告陷害他人，意图使他人受刑事追究，情节严重的，处三年以下有期徒刑、拘役或者管制；造成严重后果的，处三年以上十年以下有期徒刑。 （2）《中华人民共和国刑法》第246条【侮辱罪、诽谤罪】以暴力或者其他方法公然侮辱他人或者捏造事实诽谤他人，情节严重的，处三年以下有期徒刑、拘役、管制或者剥夺政治权利。 五、签名是指手写签名或者加盖名章(含电子)，盖章是指加盖单位印章。 六、报价异常处理 1 评标委员会认为投标人的报价明显低于其他通过符合性审查投标人的报价，有可能影响产品质量或者不能诚信履约的，应当要求其在评标现场合理的时间内提供书面说明，必要时提交相关证明材料。 2 投标人证明其能够诚信履约，并承诺中标后提供招标文件规定以外的履约担保的，可以继续参加评审，否则评标委员会应当将其作为无效投标处理。 七、1.评标过程中，若出现本评标办法以外的特殊情况时，将暂停评标，待评委会商榷后，再进行评定。 2.评标报告签署后，采购人或者采购代理机构发现存在第五章章第5.4.5条款情形之一的，应当组织原评标委员会进行重新评审，重新评审改变中标结果的，书面报告本级财政部门。 3.投标人对第五章第5.4.5条款（一）情形提出质疑的，采购代理机构应当组织原评标委员会进行重新评审，重新评审改变中标结果的，应当书面报告本级财政部门。 八、本国产品价格扣除说明 适用对象：所投产品符合本国产品标准的，视为本国产品。 扣除比例：20%。 投标人应当提供《关于符合本国产品标准的声明函》。当采购项目或者采购包仅有本国产品参与时，本国产品不享受价格扣除评审优惠；当既有本国产品又有非本国产品参与时，本国产品存在以下情形的则可享受价格折扣优惠政策：当采购项目或采购包中仅包含单一产品时，投标人所投产品为本国产品的；当采购项目或者采购包中含有多种产品时，投标人为该采购项目或者采购包提供的符合本国产品标准的产品成本之和占该投标人提供的全部产品成本之和的比例达到80%以上的。 未提供《声明函》或出具的证明文件不符合要求的，在评标时不享受该价格扣除优惠政策。 因招标文件系统编制限制，涉及到的本国产品政策一律以此处表述为准。九、1、主观分评分说明：主观分评审标准，所有方案内容仅针对本项目车辆采购需求，使用通用模板、无项目专属内容的，每项主观分评审项总分扣 1 分；主观分评审标准对应的方案中承诺的时效、人员、场地、培训次数等内容，中标后纳入合同履约条款，未兑现视为违约；评标委员会仅依据投标文件书面承诺文字、佐证材料打分，不依靠评审经验、品牌印象评判；各评委同一分项打分差值超过该项分值 20% 的，评标委员会全体专家共同书面记录打分差异理由，存入采购档案；无合理书面理由的，代理机构不予支付该专家评审费。2、客观分评分说明：客观分评审标准，打分仅依据投标文件中书面佐证材料，投标文件未附材料，评委不通过网络、线下核验、口头说明予以补分；所有证明材料需清晰可辨，复印件、扫描件模糊无法识别的，该项不予计分； 佐证材料造假，一经评标委员会查实，直接判定投标无效，上报财政部门列入供应商不良行为记录；客观分评审标准固定、量化，评标专家无自主调整分数权限，各专家打分结果必须完全一致；若出现分数不一致，评标委员会当场复核修正并书面记录。</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供应商未被“信用中国”网站（www.creditchina.gov.cn）列入失信被执行人和重大税收违法失信主体，未被中国政府采购网（www.ccgp.gov.cn）列入政府采购严重违法失信行为记录名单（响应文件解密完成后查询相关信用记录，对列入失信被执行人、重大税收违法失信主体、政府采购严重违法失信行为记录名单及其他不符合《中华人民共和国政府采购法》第二十二条规定的供应商，将拒绝其参与政府采购活动，查询结果以电子或纸质方式留存）。</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投标文件要求签名或盖章的，应有法定代表人或其授权代表人的签名并加盖公章</w:t>
            </w:r>
          </w:p>
        </w:tc>
        <w:tc>
          <w:tcPr>
            <w:tcW w:type="dxa" w:w="1661"/>
          </w:tcPr>
          <w:p>
            <w:pPr>
              <w:pStyle w:val="null3"/>
            </w:pPr>
            <w:r>
              <w:rPr>
                <w:rFonts w:ascii="仿宋_GB2312" w:hAnsi="仿宋_GB2312" w:cs="仿宋_GB2312" w:eastAsia="仿宋_GB2312"/>
              </w:rPr>
              <w:t>开标一览表 资格证明文件 投标函 商务技术文件.docx 中小企业声明函 残疾人福利性单位声明函 标的清单 关于符合本国产品标准的声明函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法定代表人身份证明或授权委托书</w:t>
            </w:r>
          </w:p>
        </w:tc>
        <w:tc>
          <w:tcPr>
            <w:tcW w:type="dxa" w:w="3322"/>
          </w:tcPr>
          <w:p>
            <w:pPr>
              <w:pStyle w:val="null3"/>
            </w:pPr>
            <w:r>
              <w:rPr>
                <w:rFonts w:ascii="仿宋_GB2312" w:hAnsi="仿宋_GB2312" w:cs="仿宋_GB2312" w:eastAsia="仿宋_GB2312"/>
              </w:rPr>
              <w:t>法定代表人身份证明（法定代表人参加投标时提供）或授权委托书（被授权人参加投标时提供）合法有效，并提供法定代表人（法人参与投标时提供）或被授权人在开标日期前六个月内任意一个月的社保缴纳证明</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投标文件格式</w:t>
            </w:r>
          </w:p>
        </w:tc>
        <w:tc>
          <w:tcPr>
            <w:tcW w:type="dxa" w:w="3322"/>
          </w:tcPr>
          <w:p>
            <w:pPr>
              <w:pStyle w:val="null3"/>
            </w:pPr>
            <w:r>
              <w:rPr>
                <w:rFonts w:ascii="仿宋_GB2312" w:hAnsi="仿宋_GB2312" w:cs="仿宋_GB2312" w:eastAsia="仿宋_GB2312"/>
              </w:rPr>
              <w:t>符合“响应文件格式”的规定（不得因装订、纸张、文件排序等非实质性的格式、形式问题限制和影响投标人响应）</w:t>
            </w:r>
          </w:p>
        </w:tc>
        <w:tc>
          <w:tcPr>
            <w:tcW w:type="dxa" w:w="1661"/>
          </w:tcPr>
          <w:p>
            <w:pPr>
              <w:pStyle w:val="null3"/>
            </w:pPr>
            <w:r>
              <w:rPr>
                <w:rFonts w:ascii="仿宋_GB2312" w:hAnsi="仿宋_GB2312" w:cs="仿宋_GB2312" w:eastAsia="仿宋_GB2312"/>
              </w:rPr>
              <w:t>开标一览表 资格证明文件 投标函 商务技术文件.docx 标的清单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只能有一个有效报价，不得提交选择性报价，且报价不超过第二章“投标人须知”前附表规定的采购预算金额或最高限价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不存在串通投标的情形</w:t>
            </w:r>
          </w:p>
        </w:tc>
        <w:tc>
          <w:tcPr>
            <w:tcW w:type="dxa" w:w="3322"/>
          </w:tcPr>
          <w:p>
            <w:pPr>
              <w:pStyle w:val="null3"/>
            </w:pPr>
            <w:r>
              <w:rPr>
                <w:rFonts w:ascii="仿宋_GB2312" w:hAnsi="仿宋_GB2312" w:cs="仿宋_GB2312" w:eastAsia="仿宋_GB2312"/>
              </w:rPr>
              <w:t>有下列情形之一的，视为投标人相互恶意串通投标，投标无效 （1）不同投标人的投标文件由同一单位或者个人编制； （2）不同投标人委托同一单位或者个人办理投标事宜； （3）不同投标人的投标文件载明的项目管理成员为同一人； （4）不同投标人的投标文件异常一致或者投标报价呈规律性差异；</w:t>
            </w:r>
          </w:p>
        </w:tc>
        <w:tc>
          <w:tcPr>
            <w:tcW w:type="dxa" w:w="1661"/>
          </w:tcPr>
          <w:p>
            <w:pPr>
              <w:pStyle w:val="null3"/>
            </w:pPr>
            <w:r>
              <w:rPr>
                <w:rFonts w:ascii="仿宋_GB2312" w:hAnsi="仿宋_GB2312" w:cs="仿宋_GB2312" w:eastAsia="仿宋_GB2312"/>
              </w:rPr>
              <w:t>开标一览表 资格证明文件 投标函 商务技术文件.docx 中小企业声明函 残疾人福利性单位声明函 标的清单 关于符合本国产品标准的声明函 投标文件封面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“★”符号标明的条款</w:t>
            </w:r>
          </w:p>
        </w:tc>
        <w:tc>
          <w:tcPr>
            <w:tcW w:type="dxa" w:w="3322"/>
          </w:tcPr>
          <w:p>
            <w:pPr>
              <w:pStyle w:val="null3"/>
            </w:pPr>
            <w:r>
              <w:rPr>
                <w:rFonts w:ascii="仿宋_GB2312" w:hAnsi="仿宋_GB2312" w:cs="仿宋_GB2312" w:eastAsia="仿宋_GB2312"/>
              </w:rPr>
              <w:t>带有“★”的要求为实质性要求，不得有偏差，否则视为未实质性响应，其投标文件无效</w:t>
            </w:r>
          </w:p>
        </w:tc>
        <w:tc>
          <w:tcPr>
            <w:tcW w:type="dxa" w:w="1661"/>
          </w:tcPr>
          <w:p>
            <w:pPr>
              <w:pStyle w:val="null3"/>
            </w:pPr>
            <w:r>
              <w:rPr>
                <w:rFonts w:ascii="仿宋_GB2312" w:hAnsi="仿宋_GB2312" w:cs="仿宋_GB2312" w:eastAsia="仿宋_GB2312"/>
              </w:rPr>
              <w:t>资格证明文件 商务技术文件.docx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车辆供货、交付及运输保障方案</w:t>
            </w:r>
          </w:p>
        </w:tc>
        <w:tc>
          <w:tcPr>
            <w:tcW w:type="dxa" w:w="2492"/>
          </w:tcPr>
          <w:p>
            <w:pPr>
              <w:pStyle w:val="null3"/>
            </w:pPr>
            <w:r>
              <w:rPr>
                <w:rFonts w:ascii="仿宋_GB2312" w:hAnsi="仿宋_GB2312" w:cs="仿宋_GB2312" w:eastAsia="仿宋_GB2312"/>
              </w:rPr>
              <w:t>评审内容：①车辆出厂检测流程；②运输、装卸防护措施；③车辆到货验收、交接流程；④交车全套资料交付清单；⑤车辆交付周期保障、逾期补救措施。 评审标准： 以上5项内容，每一项内容1分。各项内容都全面详细、阐述条理清晰详尽、符合本项目采购需求，能有效保障本项目实施的，总计可得5分；每缺一项内容扣1分，扣完为止； 每项内容中有缺陷的（缺陷是指以下情形：①内容描述过于简单②条理不清晰③与项目内容不匹配④凭空编造⑤出现常识性错误⑥不可能实现的夸大情形⑦存在不适用项目实际情况的情形等），该项内容中每出现一种前述情形的缺陷扣0.5分，扣完为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售后维保及驻场服务方案</w:t>
            </w:r>
          </w:p>
        </w:tc>
        <w:tc>
          <w:tcPr>
            <w:tcW w:type="dxa" w:w="2492"/>
          </w:tcPr>
          <w:p>
            <w:pPr>
              <w:pStyle w:val="null3"/>
            </w:pPr>
            <w:r>
              <w:rPr>
                <w:rFonts w:ascii="仿宋_GB2312" w:hAnsi="仿宋_GB2312" w:cs="仿宋_GB2312" w:eastAsia="仿宋_GB2312"/>
              </w:rPr>
              <w:t>评审内容：①具有相应的物力、人力保障，能够保证日常的现场走访，给予检查维护；②提供详细的维护计划及承诺；③具有详细的在车辆发生故障后的到达现场时间、解决故障时间、补救措施等方案。 评审标准： 以上3项内容，每一项内容2分。各项内容都全面详细、阐述条理清晰详尽、符合本项目采购需求，能有效保障本项目实施的，总计可得6分；每缺一项内容扣2分，扣完为止； 每项内容中有缺陷的（缺陷是指以下情形：①内容描述过于简单②条理不清晰③与项目内容不匹配④凭空编造⑤出现常识性错误⑥不可能实现的夸大情形⑦存在不适用项目实际情况的情形等），该项内容中每出现一种前述情形的缺陷扣0.5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车辆操作、安全使用培训方案</w:t>
            </w:r>
          </w:p>
        </w:tc>
        <w:tc>
          <w:tcPr>
            <w:tcW w:type="dxa" w:w="2492"/>
          </w:tcPr>
          <w:p>
            <w:pPr>
              <w:pStyle w:val="null3"/>
            </w:pPr>
            <w:r>
              <w:rPr>
                <w:rFonts w:ascii="仿宋_GB2312" w:hAnsi="仿宋_GB2312" w:cs="仿宋_GB2312" w:eastAsia="仿宋_GB2312"/>
              </w:rPr>
              <w:t>评审内容：①驾驶员实操培训；②车辆日常自检保养教学；③车辆故障简易处置教学；④安全驾驶、用车管理培训。 明确培训课时、培训讲师资质、培训场地、配套教学手册。 评审标准： 以上4项内容，每一项内容1分。方案齐全、合理，针对性强、流程清晰、逻辑性强、处置时限明确、全面，总计可得4分；每缺一项内容扣1分，扣完为止； 每项内容中有缺陷的（缺陷是指以下情形：①内容描述过于简单②条理不清晰③与项目内容不匹配④凭空编造⑤出现常识性错误⑥不可能实现的夸大情形⑦存在不适用项目实际情况的情形等），该项内容中每出现一种前述情形的缺陷扣0.5分，扣完为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车辆故障、事故应急救援保障方案</w:t>
            </w:r>
          </w:p>
        </w:tc>
        <w:tc>
          <w:tcPr>
            <w:tcW w:type="dxa" w:w="2492"/>
          </w:tcPr>
          <w:p>
            <w:pPr>
              <w:pStyle w:val="null3"/>
            </w:pPr>
            <w:r>
              <w:rPr>
                <w:rFonts w:ascii="仿宋_GB2312" w:hAnsi="仿宋_GB2312" w:cs="仿宋_GB2312" w:eastAsia="仿宋_GB2312"/>
              </w:rPr>
              <w:t>评审内容：①7×24 小时售后救援热线；②故障备用车辆保障；③交通事故拖车、抢修处置流程；④极端天气车辆防护预案；⑤应急救援保障机制。 评审标准： 以上5项内容，每一项内容1分。方案齐全、合理，针对性强、流程清晰、逻辑性强、处置时限明确、全面，总计可得5分；每缺一项内容扣1分，扣完为止； 每项内容中有缺陷的（缺陷是指以下情形：①内容描述过于简单②条理不清晰③与项目内容不匹配④凭空编造⑤出现常识性错误⑥不可能实现的夸大情形⑦存在不适用项目实际情况的情形等），该项内容中每出现一种前述情形的缺陷扣0.5分，扣完为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技术响应</w:t>
            </w:r>
          </w:p>
        </w:tc>
        <w:tc>
          <w:tcPr>
            <w:tcW w:type="dxa" w:w="2492"/>
          </w:tcPr>
          <w:p>
            <w:pPr>
              <w:pStyle w:val="null3"/>
            </w:pPr>
            <w:r>
              <w:rPr>
                <w:rFonts w:ascii="仿宋_GB2312" w:hAnsi="仿宋_GB2312" w:cs="仿宋_GB2312" w:eastAsia="仿宋_GB2312"/>
              </w:rPr>
              <w:t>投标产品技术参数描述清晰，指标明确，功能配置完善，技术资料详尽、齐全、表述真实一致。带"“★"的参数需求为实质性要求，供应商必须响应并满足的参数需求；投标产品标注“▲”号的为重要技术参数，（共8项）满分32分，每出现一项标注“▲”号的技术参数未响应或者不满足招标文件要求的扣4分； 除实质性参数，及重要参数以外为一般参数，其他未标记项技术参数共5项，每有1项负偏离、缺漏的扣1分，扣完为止（总分5分）。 本项不计负分，正偏离不加分。 备注： 1、投标人需提供相关技术证明材料，技术材料包括但不限于工业和信息化部公告网站公布的或国家道路机动车辆生产企业及产品信息查询系统公告的材料证明或产品公告参数截图、检测报告、技术白皮书、产品彩页、厂家产品说明等相关资料予以佐证（佐证材料形式不限，能体现技术参数即可）予以证明其技术参数的响应性； 2、在技术偏离表“说明”栏中标明证明材料的页码； 3、投标人提供虚假响应将承担相应法律责任。</w:t>
            </w:r>
          </w:p>
        </w:tc>
        <w:tc>
          <w:tcPr>
            <w:tcW w:type="dxa" w:w="831"/>
          </w:tcPr>
          <w:p>
            <w:pPr>
              <w:pStyle w:val="null3"/>
              <w:jc w:val="right"/>
            </w:pPr>
            <w:r>
              <w:rPr>
                <w:rFonts w:ascii="仿宋_GB2312" w:hAnsi="仿宋_GB2312" w:cs="仿宋_GB2312" w:eastAsia="仿宋_GB2312"/>
              </w:rPr>
              <w:t>37.0000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履约响应速度</w:t>
            </w:r>
          </w:p>
        </w:tc>
        <w:tc>
          <w:tcPr>
            <w:tcW w:type="dxa" w:w="2492"/>
          </w:tcPr>
          <w:p>
            <w:pPr>
              <w:pStyle w:val="null3"/>
            </w:pPr>
            <w:r>
              <w:rPr>
                <w:rFonts w:ascii="仿宋_GB2312" w:hAnsi="仿宋_GB2312" w:cs="仿宋_GB2312" w:eastAsia="仿宋_GB2312"/>
              </w:rPr>
              <w:t>投标人能对交货的质量和响应速度做出承诺，承诺响应交货时间越短分值越高。交货时间正偏离响应，交货期为25天（含）内得5分，26天（含）内得4分，27天（含）内得3分，28天（含）内得2分，29天（含）内得1分，响应本项目交货期无正偏离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2021年1月1日至今（以合同签订时间为准）类似项目业绩（类似项目业绩指环卫车辆业绩），投标文件中附业绩证明材料（业绩以合同文件复印件加盖投标人公章为评审依据，合同标的、合同金额，签订时间，签字页等应当清晰，完整），提供一个有效业绩得4分，满分8分，不提供不得分。 备注： 提供制造商业绩不计分。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商务技术文件.docx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人的价格分，按照《政府采购货物和服务招标投标管理办法》（财政部令第87号）第五十五条和《政府采购促进中小企业发展管理办法》（财库〔2020〕46号）文件的规定，采用低价优先法计算，以本次满足投标文件要求的最低投标评审价为评标基准价，其价格为满分。其他投标人的价格分，统一按照下列公式计算： 投标评审价=投标报价×（1-投标报价扣除幅度），投标报价得分=(评标基准价／投标评审价)×30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投标人需提供合法有效的《中小企业声明函》 投标人报价扣除幅度如下： 投标人提供的货物全部为小微企业制造的，给予投标报价扣除10%优惠政策，只要有大中型企业制造货物情形的，就不得享受价格扣除优惠政策。 特别说明：价格扣除第2项本国产品，因系统录入无法编辑添加，将在招标文件“其他要求”中明确扣除具体标准和要求。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详见附件：资格证明文件</w:t>
      </w:r>
    </w:p>
    <w:p>
      <w:pPr>
        <w:pStyle w:val="null3"/>
        <w:ind w:firstLine="960"/>
      </w:pPr>
      <w:r>
        <w:rPr>
          <w:rFonts w:ascii="仿宋_GB2312" w:hAnsi="仿宋_GB2312" w:cs="仿宋_GB2312" w:eastAsia="仿宋_GB2312"/>
        </w:rPr>
        <w:t>详见附件：商务技术文件.docx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详见附件：合同7.30.docx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