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6CD5A6">
      <w:pPr>
        <w:pStyle w:val="4"/>
        <w:jc w:val="center"/>
        <w:outlineLvl w:val="1"/>
      </w:pPr>
      <w:bookmarkStart w:id="0" w:name="_GoBack"/>
      <w:bookmarkEnd w:id="0"/>
      <w:r>
        <w:rPr>
          <w:rFonts w:ascii="仿宋_GB2312" w:hAnsi="仿宋_GB2312" w:eastAsia="仿宋_GB2312" w:cs="仿宋_GB2312"/>
          <w:b/>
          <w:sz w:val="36"/>
        </w:rPr>
        <w:t>磋商项目技术、服务、商务及其他要求</w:t>
      </w:r>
    </w:p>
    <w:p w14:paraId="4266F630">
      <w:pPr>
        <w:pStyle w:val="4"/>
        <w:ind w:firstLine="480"/>
      </w:pPr>
      <w:r>
        <w:rPr>
          <w:rFonts w:ascii="仿宋_GB2312" w:hAnsi="仿宋_GB2312" w:eastAsia="仿宋_GB2312" w:cs="仿宋_GB2312"/>
        </w:rPr>
        <w:t xml:space="preserve"> （注：带“★”的参数需求为实质性要求，供应商必须响应并满足的参数需求，采购人、采购代理机构应当根据项目实际需求合理设定，并明确具体要求。带“▲”号条款为允许负偏离的参数需求，若未响应或者不满足，将在综合评审中予以扣分处理。）</w:t>
      </w:r>
    </w:p>
    <w:p w14:paraId="456188D7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3.1采购项目概况</w:t>
      </w:r>
    </w:p>
    <w:p w14:paraId="7F93E7A7">
      <w:pPr>
        <w:pStyle w:val="4"/>
        <w:ind w:firstLine="480"/>
      </w:pPr>
      <w:r>
        <w:rPr>
          <w:rFonts w:ascii="仿宋_GB2312" w:hAnsi="仿宋_GB2312" w:eastAsia="仿宋_GB2312" w:cs="仿宋_GB2312"/>
        </w:rPr>
        <w:t>通过购买服务，引入具备资质的专业机构，为边境偏远地区及艰苦一线岗位人员提供健康服务。</w:t>
      </w:r>
    </w:p>
    <w:p w14:paraId="67915F68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3.2服务内容及服务要求</w:t>
      </w:r>
    </w:p>
    <w:p w14:paraId="26DF224F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3.2.1服务内容</w:t>
      </w:r>
    </w:p>
    <w:p w14:paraId="2F574AA9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45CDDBF7">
      <w:pPr>
        <w:pStyle w:val="4"/>
      </w:pPr>
      <w:r>
        <w:rPr>
          <w:rFonts w:ascii="仿宋_GB2312" w:hAnsi="仿宋_GB2312" w:eastAsia="仿宋_GB2312" w:cs="仿宋_GB2312"/>
        </w:rPr>
        <w:t>采购包预算金额（元）: 1,500,000.00</w:t>
      </w:r>
    </w:p>
    <w:p w14:paraId="77AD6BF2">
      <w:pPr>
        <w:pStyle w:val="4"/>
      </w:pPr>
      <w:r>
        <w:rPr>
          <w:rFonts w:ascii="仿宋_GB2312" w:hAnsi="仿宋_GB2312" w:eastAsia="仿宋_GB2312" w:cs="仿宋_GB2312"/>
        </w:rPr>
        <w:t>采购包最高限价（元）: 1,500,000.00</w:t>
      </w:r>
    </w:p>
    <w:p w14:paraId="46C659C2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405B3EB5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"/>
        <w:gridCol w:w="707"/>
        <w:gridCol w:w="736"/>
        <w:gridCol w:w="1416"/>
        <w:gridCol w:w="708"/>
        <w:gridCol w:w="708"/>
        <w:gridCol w:w="708"/>
        <w:gridCol w:w="708"/>
        <w:gridCol w:w="708"/>
        <w:gridCol w:w="708"/>
        <w:gridCol w:w="708"/>
      </w:tblGrid>
      <w:tr w14:paraId="3009D72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4D0BCDE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1343CFD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0C0E3B9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4BEDCF2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3A9AD1B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76F8173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76B332B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2752FB2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7D21AFE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2095A3E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13D7480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023C7C1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2F844FA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541A47E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艰苦一线岗位职工和边境偏远地区职工健康服务</w:t>
            </w:r>
          </w:p>
        </w:tc>
        <w:tc>
          <w:tcPr>
            <w:tcW w:w="755" w:type="dxa"/>
          </w:tcPr>
          <w:p w14:paraId="15792851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365EBEAC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1,500,000.00</w:t>
            </w:r>
          </w:p>
        </w:tc>
        <w:tc>
          <w:tcPr>
            <w:tcW w:w="755" w:type="dxa"/>
          </w:tcPr>
          <w:p w14:paraId="774491E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55" w:type="dxa"/>
          </w:tcPr>
          <w:p w14:paraId="313AE64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其他未列明行业</w:t>
            </w:r>
          </w:p>
        </w:tc>
        <w:tc>
          <w:tcPr>
            <w:tcW w:w="755" w:type="dxa"/>
          </w:tcPr>
          <w:p w14:paraId="707295E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92D537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A2DC4D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8CAFDA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74ACEE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31C8A2EC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3.2.2服务要求</w:t>
      </w:r>
    </w:p>
    <w:p w14:paraId="0D023E82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26433BC8">
      <w:pPr>
        <w:pStyle w:val="4"/>
      </w:pPr>
      <w:r>
        <w:rPr>
          <w:rFonts w:ascii="仿宋_GB2312" w:hAnsi="仿宋_GB2312" w:eastAsia="仿宋_GB2312" w:cs="仿宋_GB2312"/>
        </w:rPr>
        <w:t>标的名称：艰苦一线岗位职工和边境偏远地区职工健康服务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9"/>
        <w:gridCol w:w="2769"/>
        <w:gridCol w:w="2769"/>
      </w:tblGrid>
      <w:tr w14:paraId="5DE1BE5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5FDC031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2769" w:type="dxa"/>
          </w:tcPr>
          <w:p w14:paraId="5DC9788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2769" w:type="dxa"/>
          </w:tcPr>
          <w:p w14:paraId="3717969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2EF3724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1DC3442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2769" w:type="dxa"/>
          </w:tcPr>
          <w:p w14:paraId="7B56C9B7"/>
        </w:tc>
        <w:tc>
          <w:tcPr>
            <w:tcW w:w="2769" w:type="dxa"/>
          </w:tcPr>
          <w:p w14:paraId="792CC03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为10000名边境偏远地区职工和5000名艰苦一线岗位职工提供健康服务。1.送医送药上门：组织医师团队深入企业上门巡诊、健康检测，线上线下协同为职工开药送药或配套发放健康检测试剂。 2.心理服务：提供心理热线服务。3.重特大疾病专家绿色通道：提供就医协助。4.移动诊台：搭建移动端诊疗平台，提供健康咨询、报告解读、健康科普等全年常态化在线服务。</w:t>
            </w:r>
          </w:p>
        </w:tc>
      </w:tr>
    </w:tbl>
    <w:p w14:paraId="7EC15CE1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3.2.3人员配置要求</w:t>
      </w:r>
    </w:p>
    <w:p w14:paraId="7DBA68E1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5B62C4D4">
      <w:pPr>
        <w:pStyle w:val="4"/>
      </w:pPr>
      <w:r>
        <w:rPr>
          <w:rFonts w:ascii="仿宋_GB2312" w:hAnsi="仿宋_GB2312" w:eastAsia="仿宋_GB2312" w:cs="仿宋_GB2312"/>
        </w:rPr>
        <w:t>达到服务要求所必须的人员</w:t>
      </w:r>
    </w:p>
    <w:p w14:paraId="7B957793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3.2.4设施设备要求</w:t>
      </w:r>
    </w:p>
    <w:p w14:paraId="4E30BE16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43082CF0">
      <w:pPr>
        <w:pStyle w:val="4"/>
      </w:pPr>
      <w:r>
        <w:rPr>
          <w:rFonts w:ascii="仿宋_GB2312" w:hAnsi="仿宋_GB2312" w:eastAsia="仿宋_GB2312" w:cs="仿宋_GB2312"/>
        </w:rPr>
        <w:t>达到服务要求所必须的设备</w:t>
      </w:r>
    </w:p>
    <w:p w14:paraId="742B9BBB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3.2.5其他要求</w:t>
      </w:r>
    </w:p>
    <w:p w14:paraId="39CB6D3A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4CBA0D5F">
      <w:pPr>
        <w:pStyle w:val="4"/>
      </w:pPr>
      <w:r>
        <w:rPr>
          <w:rFonts w:ascii="仿宋_GB2312" w:hAnsi="仿宋_GB2312" w:eastAsia="仿宋_GB2312" w:cs="仿宋_GB2312"/>
        </w:rPr>
        <w:t>无</w:t>
      </w:r>
    </w:p>
    <w:p w14:paraId="1A21EE7B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3.3商务要求</w:t>
      </w:r>
    </w:p>
    <w:p w14:paraId="0BF209F1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3.3.1服务期限</w:t>
      </w:r>
    </w:p>
    <w:p w14:paraId="0B8450C4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46C202A8">
      <w:pPr>
        <w:pStyle w:val="4"/>
      </w:pPr>
      <w:r>
        <w:rPr>
          <w:rFonts w:ascii="仿宋_GB2312" w:hAnsi="仿宋_GB2312" w:eastAsia="仿宋_GB2312" w:cs="仿宋_GB2312"/>
        </w:rPr>
        <w:t>自合同签订之日起一年</w:t>
      </w:r>
    </w:p>
    <w:p w14:paraId="395DD020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3.3.2服务地点</w:t>
      </w:r>
    </w:p>
    <w:p w14:paraId="08C63681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71FEF576">
      <w:pPr>
        <w:pStyle w:val="4"/>
      </w:pPr>
      <w:r>
        <w:rPr>
          <w:rFonts w:ascii="仿宋_GB2312" w:hAnsi="仿宋_GB2312" w:eastAsia="仿宋_GB2312" w:cs="仿宋_GB2312"/>
        </w:rPr>
        <w:t>采购人指定地点</w:t>
      </w:r>
    </w:p>
    <w:p w14:paraId="3A1F5A04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3.3.3考核（验收）标准和方法</w:t>
      </w:r>
    </w:p>
    <w:p w14:paraId="14E8E4E6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0F68EC37">
      <w:pPr>
        <w:pStyle w:val="4"/>
      </w:pPr>
      <w:r>
        <w:rPr>
          <w:rFonts w:ascii="仿宋_GB2312" w:hAnsi="仿宋_GB2312" w:eastAsia="仿宋_GB2312" w:cs="仿宋_GB2312"/>
        </w:rPr>
        <w:t>符合国家相关标准、行业标准、地方标准或者其他标准、规范。</w:t>
      </w:r>
    </w:p>
    <w:p w14:paraId="126F4F53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3.3.4支付方式</w:t>
      </w:r>
    </w:p>
    <w:p w14:paraId="1BD3316A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57861CC1">
      <w:pPr>
        <w:pStyle w:val="4"/>
      </w:pPr>
      <w:r>
        <w:rPr>
          <w:rFonts w:ascii="仿宋_GB2312" w:hAnsi="仿宋_GB2312" w:eastAsia="仿宋_GB2312" w:cs="仿宋_GB2312"/>
        </w:rPr>
        <w:t>分期付款</w:t>
      </w:r>
    </w:p>
    <w:p w14:paraId="188E2BDC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3.3.5支付约定</w:t>
      </w:r>
    </w:p>
    <w:p w14:paraId="5E6D7269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6CD4A04B">
      <w:pPr>
        <w:pStyle w:val="4"/>
        <w:ind w:firstLine="1200"/>
      </w:pPr>
      <w:r>
        <w:rPr>
          <w:rFonts w:ascii="仿宋_GB2312" w:hAnsi="仿宋_GB2312" w:eastAsia="仿宋_GB2312" w:cs="仿宋_GB2312"/>
        </w:rPr>
        <w:t>1、预付款，合同正式生效，供应商须提供正式等额增值税发票，健康服务正式开始起10个工作日内，达到付款条件起10个工作日内，支付合同总金额的40.0%</w:t>
      </w:r>
    </w:p>
    <w:p w14:paraId="6967E0EC">
      <w:pPr>
        <w:pStyle w:val="4"/>
        <w:ind w:firstLine="1200"/>
      </w:pPr>
      <w:r>
        <w:rPr>
          <w:rFonts w:ascii="仿宋_GB2312" w:hAnsi="仿宋_GB2312" w:eastAsia="仿宋_GB2312" w:cs="仿宋_GB2312"/>
        </w:rPr>
        <w:t>2、进度款，项目服务半年，甲方在10个工作日内进行项目评估验收，验收成功后，乙方向甲方开具等额增值税普通发票，甲方在收到增值税普通发票后十个工作日内完成第二次付款，达到付款条件起10个工作日内，支付合同总金额的30.0%</w:t>
      </w:r>
    </w:p>
    <w:p w14:paraId="6EA1493E">
      <w:pPr>
        <w:pStyle w:val="4"/>
        <w:ind w:firstLine="1200"/>
      </w:pPr>
      <w:r>
        <w:rPr>
          <w:rFonts w:ascii="仿宋_GB2312" w:hAnsi="仿宋_GB2312" w:eastAsia="仿宋_GB2312" w:cs="仿宋_GB2312"/>
        </w:rPr>
        <w:t>3、进度款，项目尾款，项目完成并通过验收后，供应商须提供正式等额增值税普通发票10个工作日内，达到付款条件起10个工作日内，支付合同总金额的30.0%</w:t>
      </w:r>
    </w:p>
    <w:p w14:paraId="090761E6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3.3.6违约责任及解决争议的方法</w:t>
      </w:r>
    </w:p>
    <w:p w14:paraId="2BCCEEB7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429DA05C">
      <w:pPr>
        <w:pStyle w:val="4"/>
      </w:pPr>
      <w:r>
        <w:rPr>
          <w:rFonts w:ascii="仿宋_GB2312" w:hAnsi="仿宋_GB2312" w:eastAsia="仿宋_GB2312" w:cs="仿宋_GB2312"/>
        </w:rPr>
        <w:t>详见磋商文件采购需求和合同条款</w:t>
      </w:r>
    </w:p>
    <w:p w14:paraId="6C8974D1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3.4其他要求</w:t>
      </w:r>
    </w:p>
    <w:p w14:paraId="236C8F3F">
      <w:pPr>
        <w:pStyle w:val="4"/>
      </w:pPr>
      <w:r>
        <w:rPr>
          <w:rFonts w:ascii="仿宋_GB2312" w:hAnsi="仿宋_GB2312" w:eastAsia="仿宋_GB2312" w:cs="仿宋_GB2312"/>
        </w:rPr>
        <w:t>本项目关于异常低价，落实执行《关于推动解决政府采购异常低价问题的通知》财库〔2026〕2号文件相关政策，根据采购项目评标情况，由评标委员会判定是否启动异常低价投标（响应）审查程序。若启动异常低价投标（响应）审查程序，投标（响应）供应商不能提供书面说明、证明材料，或者提供的书面说明、证明材料不能证明其报价合理性的，评审委员会应当将其作为无效投标（响应）处理。</w:t>
      </w:r>
    </w:p>
    <w:p w14:paraId="7FF60C3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CDB7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2026-09-29T14:30:23Z</dcterms:created>
  <dc:creator>17758</dc:creator>
  <cp:lastModifiedBy>17758</cp:lastModifiedBy>
  <dcterms:modified xsi:type="dcterms:W3CDTF">2026-09-29T14:30:29Z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eyJoZGlkIjoiMzEwNTM5NzYwMDRjMzkwZTVkZjY2ODkwMGIxNGU0OTUiLCJ1c2VySWQiOiIxMzI1MjE1MDkxIn0=</vt:lpwstr>
  </property>
  <property fmtid="{D5CDD505-2E9C-101B-9397-08002B2CF9AE}" pid="4" name="ICV">
    <vt:lpwstr>02796E370D344174806FE483565F1019_12</vt:lpwstr>
  </property>
</Properties>
</file>