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版本号：SXZH-2026-06920260522001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萃园小区海绵化综合改造工程设计服务项目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SXZH-2026-069</w:t>
      </w:r>
      <w:r>
        <w:br/>
      </w:r>
      <w:r>
        <w:br/>
      </w:r>
      <w:r>
        <w:br/>
      </w:r>
    </w:p>
    <w:p>
      <w:pPr>
        <w:pStyle w:val="null3"/>
        <w:jc w:val="center"/>
        <w:outlineLvl w:val="2"/>
      </w:pPr>
      <w:r>
        <w:rPr>
          <w:rFonts w:ascii="仿宋_GB2312" w:hAnsi="仿宋_GB2312" w:cs="仿宋_GB2312" w:eastAsia="仿宋_GB2312"/>
          <w:sz w:val="28"/>
          <w:b/>
        </w:rPr>
        <w:t>延安大学</w:t>
      </w:r>
    </w:p>
    <w:p>
      <w:pPr>
        <w:pStyle w:val="null3"/>
        <w:jc w:val="center"/>
        <w:outlineLvl w:val="2"/>
      </w:pPr>
      <w:r>
        <w:rPr>
          <w:rFonts w:ascii="仿宋_GB2312" w:hAnsi="仿宋_GB2312" w:cs="仿宋_GB2312" w:eastAsia="仿宋_GB2312"/>
          <w:sz w:val="28"/>
          <w:b/>
        </w:rPr>
        <w:t>陕西筑辉工程咨询有限公司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陕西筑辉工程咨询有限公司</w:t>
      </w:r>
      <w:r>
        <w:rPr>
          <w:rFonts w:ascii="仿宋_GB2312" w:hAnsi="仿宋_GB2312" w:cs="仿宋_GB2312" w:eastAsia="仿宋_GB2312"/>
        </w:rPr>
        <w:t>（以下简称“代理机构”）受</w:t>
      </w:r>
      <w:r>
        <w:rPr>
          <w:rFonts w:ascii="仿宋_GB2312" w:hAnsi="仿宋_GB2312" w:cs="仿宋_GB2312" w:eastAsia="仿宋_GB2312"/>
        </w:rPr>
        <w:t>延安大学</w:t>
      </w:r>
      <w:r>
        <w:rPr>
          <w:rFonts w:ascii="仿宋_GB2312" w:hAnsi="仿宋_GB2312" w:cs="仿宋_GB2312" w:eastAsia="仿宋_GB2312"/>
        </w:rPr>
        <w:t>委托，拟对</w:t>
      </w:r>
      <w:r>
        <w:rPr>
          <w:rFonts w:ascii="仿宋_GB2312" w:hAnsi="仿宋_GB2312" w:cs="仿宋_GB2312" w:eastAsia="仿宋_GB2312"/>
        </w:rPr>
        <w:t>萃园小区海绵化综合改造工程设计服务项目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SXZH-2026-069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萃园小区海绵化综合改造工程设计服务项目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萃园小区海绵化综合改造工程设计服务项目，1项，具体内容详见磋商文件第3章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采购包1（萃园小区海绵化综合改造工程设计服务）：属于专门面向小微企业采购。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1、法定代表人授权委托书：法定代表人参加磋商的，须出示身份证；法定代表人授权本单位他人参加磋商的，须提供法定代表人授权委托书。</w:t>
      </w:r>
    </w:p>
    <w:p>
      <w:pPr>
        <w:pStyle w:val="null3"/>
      </w:pPr>
      <w:r>
        <w:rPr>
          <w:rFonts w:ascii="仿宋_GB2312" w:hAnsi="仿宋_GB2312" w:cs="仿宋_GB2312" w:eastAsia="仿宋_GB2312"/>
        </w:rPr>
        <w:t>2、本项目不接受联合体磋商，不允许分包转包：本项目不接受联合体磋商，不允许分包转包。供应商应提供《非联合体不分包投标声明》。</w:t>
      </w:r>
    </w:p>
    <w:p>
      <w:pPr>
        <w:pStyle w:val="null3"/>
      </w:pPr>
      <w:r>
        <w:rPr>
          <w:rFonts w:ascii="仿宋_GB2312" w:hAnsi="仿宋_GB2312" w:cs="仿宋_GB2312" w:eastAsia="仿宋_GB2312"/>
        </w:rPr>
        <w:t>3、工程设计资质：供应商提供建筑行业（建筑工程）专业设计丙级及以上资质证书。</w:t>
      </w:r>
    </w:p>
    <w:p>
      <w:pPr>
        <w:pStyle w:val="null3"/>
      </w:pPr>
      <w:r>
        <w:rPr>
          <w:rFonts w:ascii="仿宋_GB2312" w:hAnsi="仿宋_GB2312" w:cs="仿宋_GB2312" w:eastAsia="仿宋_GB2312"/>
        </w:rPr>
        <w:t>4、项目负责人：拟派项目负责人提供国家二级及以上注册建筑师执业资格证书。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延安大学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延安市宝塔区圣地路580号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0911-2650182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陕西筑辉工程咨询有限公司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西安市雁塔区南二环东段22号（凯森盛世1号）B座2层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13228005857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开户名称：陕西筑辉工程咨询有限公司</w:t>
            </w:r>
          </w:p>
          <w:p>
            <w:pPr>
              <w:pStyle w:val="null3"/>
            </w:pPr>
            <w:r>
              <w:rPr>
                <w:rFonts w:ascii="仿宋_GB2312" w:hAnsi="仿宋_GB2312" w:cs="仿宋_GB2312" w:eastAsia="仿宋_GB2312"/>
              </w:rPr>
              <w:t>开户银行：北京银行股份有限公司西安经济技术开发区支行</w:t>
            </w:r>
          </w:p>
          <w:p>
            <w:pPr>
              <w:pStyle w:val="null3"/>
            </w:pPr>
            <w:r>
              <w:rPr>
                <w:rFonts w:ascii="仿宋_GB2312" w:hAnsi="仿宋_GB2312" w:cs="仿宋_GB2312" w:eastAsia="仿宋_GB2312"/>
              </w:rPr>
              <w:t>银行账号：20000041418600030109571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代理服务费收费标准：采购代理费用按委托代理采购项目中标（成交）金额的百分之一(1%）收取，由中标（成交）投标人向代理机构支付。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延安大学</w:t>
      </w:r>
      <w:r>
        <w:rPr>
          <w:rFonts w:ascii="仿宋_GB2312" w:hAnsi="仿宋_GB2312" w:cs="仿宋_GB2312" w:eastAsia="仿宋_GB2312"/>
        </w:rPr>
        <w:t>和</w:t>
      </w:r>
      <w:r>
        <w:rPr>
          <w:rFonts w:ascii="仿宋_GB2312" w:hAnsi="仿宋_GB2312" w:cs="仿宋_GB2312" w:eastAsia="仿宋_GB2312"/>
        </w:rPr>
        <w:t>陕西筑辉工程咨询有限公司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延安大学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陕西筑辉工程咨询有限公司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延安大学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陕西筑辉工程咨询有限公司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交初步设计方案后3日内，采购人组织初审；提交全套施工图设计后7日内，组织专家及相关部门进行技术性审查验收；项目竣工验收后10日内，完成设计服务最终验收。按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陕西筑辉工程咨询有限公司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陕西筑辉工程咨询有限公司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陕西筑辉工程咨询有限公司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联系人：薛南</w:t>
      </w:r>
    </w:p>
    <w:p>
      <w:pPr>
        <w:pStyle w:val="null3"/>
      </w:pPr>
      <w:r>
        <w:rPr>
          <w:rFonts w:ascii="仿宋_GB2312" w:hAnsi="仿宋_GB2312" w:cs="仿宋_GB2312" w:eastAsia="仿宋_GB2312"/>
        </w:rPr>
        <w:t>联系电话：13228005857</w:t>
      </w:r>
    </w:p>
    <w:p>
      <w:pPr>
        <w:pStyle w:val="null3"/>
      </w:pPr>
      <w:r>
        <w:rPr>
          <w:rFonts w:ascii="仿宋_GB2312" w:hAnsi="仿宋_GB2312" w:cs="仿宋_GB2312" w:eastAsia="仿宋_GB2312"/>
        </w:rPr>
        <w:t>地址：西安市雁塔区南二环东段22号（凯森盛世1号）B座2层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其他未列明行业</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560,000.00</w:t>
      </w:r>
    </w:p>
    <w:p>
      <w:pPr>
        <w:pStyle w:val="null3"/>
      </w:pPr>
      <w:r>
        <w:rPr>
          <w:rFonts w:ascii="仿宋_GB2312" w:hAnsi="仿宋_GB2312" w:cs="仿宋_GB2312" w:eastAsia="仿宋_GB2312"/>
        </w:rPr>
        <w:t>采购包最高限价（元）: 560,000.00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萃园小区海绵化综合改造工程设计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标的名称：萃园小区海绵化综合改造工程设计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pPr>
            <w:r>
              <w:rPr>
                <w:rFonts w:ascii="仿宋_GB2312" w:hAnsi="仿宋_GB2312" w:cs="仿宋_GB2312" w:eastAsia="仿宋_GB2312"/>
              </w:rPr>
              <w:t>1.供应商熟悉海绵城市建设相关规范、标准及地方政策；</w:t>
            </w:r>
          </w:p>
          <w:p>
            <w:pPr>
              <w:pStyle w:val="null3"/>
            </w:pPr>
            <w:r>
              <w:rPr>
                <w:rFonts w:ascii="仿宋_GB2312" w:hAnsi="仿宋_GB2312" w:cs="仿宋_GB2312" w:eastAsia="仿宋_GB2312"/>
              </w:rPr>
              <w:t xml:space="preserve">    2.需完成方案设计、初步设计、施工图设计全套成果，包含设计说明、设计图纸、工程量清单、设计概算等全套文件；</w:t>
            </w:r>
          </w:p>
          <w:p>
            <w:pPr>
              <w:pStyle w:val="null3"/>
            </w:pPr>
            <w:r>
              <w:rPr>
                <w:rFonts w:ascii="仿宋_GB2312" w:hAnsi="仿宋_GB2312" w:cs="仿宋_GB2312" w:eastAsia="仿宋_GB2312"/>
              </w:rPr>
              <w:t xml:space="preserve">    3.设计成果需符合《海绵城市建设技术指南》《陕西省海绵城市建设技术标准》及延安市本地相关要求，通过相关部门技术性审查；</w:t>
            </w:r>
          </w:p>
          <w:p>
            <w:pPr>
              <w:pStyle w:val="null3"/>
            </w:pPr>
            <w:r>
              <w:rPr>
                <w:rFonts w:ascii="仿宋_GB2312" w:hAnsi="仿宋_GB2312" w:cs="仿宋_GB2312" w:eastAsia="仿宋_GB2312"/>
              </w:rPr>
              <w:t xml:space="preserve">    4.提供设计交底、施工现场配合、设计变更指导等后续技术服务，配合完成项目验收相关设计支撑工作；</w:t>
            </w:r>
          </w:p>
          <w:p>
            <w:pPr>
              <w:pStyle w:val="null3"/>
            </w:pPr>
            <w:r>
              <w:rPr>
                <w:rFonts w:ascii="仿宋_GB2312" w:hAnsi="仿宋_GB2312" w:cs="仿宋_GB2312" w:eastAsia="仿宋_GB2312"/>
              </w:rPr>
              <w:t xml:space="preserve">    5.设计周期满足采购人要求，保障项目推进进度，设计成果精准无误，无重大设计缺陷。</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须配置专业齐全的海绵城市设计团队；设计人员须熟练掌握现行相关设计规范标准，保质完成方案、施工图设计及图审整改工作；项目人员固定，未经甲方同意不得擅自更换。设计工作严谨合规、按时交付，全程配合项目报审、施工技术支持及竣工验收全过程服务</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（1）质量保修范围和保修期：本项目为工程设计服务，供应商应对设计成果的准确性、合规性、完整性终身负责，若因设计失误、缺陷造成施工问题或项目损失，由供应商承担全部责任。 （2）知识产权归属和处理方式：采购人支付完全部合同价款后，本项目所有设计成果的知识产权归采购人所有，采购人可用于本项目施工、验收、备案及后续运维使用；未经采购人书面同意，供应商不得将设计成果泄露、转让给任何第三方，不得用于其他项目。</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且采购人向供应商提供完整的项目基础资料（含小区现状图纸、地形测绘资料、管网资料、地勘资料、地库荷载、建筑资料等）之日起20个工作日内，完成全套施工图设计并提交正式设计成果；后续技术服务周期覆盖项目施工全过程，直至项目竣工验收合格。</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延安大学萃园小区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交的全套工程设计成果，需符合国家、行业及地方海绵城市建设相关设计规范、标准，满足项目施工实际需求，通过采购人及相关主管部门的技术性审查，最终以项目工程竣工验收合格、设计成果无缺陷为最终验收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进度款，合同签订且供应商启动设计工作，提交初步设计方案并通过采购人审核后，达到付款条件起10个工作日内，支付合同总金额的40.0%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进度款，供应商提交全套施工图设计成果，通过相关部门技术性审查后，达到付款条件起15个工作日内，支付合同总金额的50.0%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进度款，项目完成竣工验收，供应商完成全部设计后续服务工作后，达到付款条件起20个工作日内，支付合同总金额的10.0%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按合同约定提供服务或未达到约定的服务标准、产品质量的，甲方有权解除合同，并可依法向乙方主张不低于合同总价款30%的违约金，造成损害的，可一并主张损害赔偿。甲方违约的，应当赔偿乙方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5月（含5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5月（含5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财务状况报告：法人提供会计师事务所出具有效的2024或2025年度审计报告（审计报告须具有注册会计师行业统一监管平台赋予的验证码）（成立时间至提交投标文件截止时间不足一年的可提供成立后任意时段的资产负债表），或提交自2025年11月1日以来银行出具的资信证明（以上两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小微企业采购，供应商应为小型、微型企业或监狱企业或残疾人福利性单位。供应商为小型、微型企业的，提供《中小企业声明函》；供应商为监狱企业的，应提供监狱企业的证明文件；供应商为残疾人福利性单位的，应提供《残疾人福利性单位声明函》。 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法定代表人参加磋商的，须出示身份证；法定代表人授权本单位他人参加磋商的，须提供法定代表人授权委托书。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本项目不接受联合体磋商，不允许分包转包</w:t>
            </w:r>
          </w:p>
        </w:tc>
        <w:tc>
          <w:tcPr>
            <w:tcW w:type="dxa" w:w="3322"/>
          </w:tcPr>
          <w:p>
            <w:pPr>
              <w:pStyle w:val="null3"/>
            </w:pPr>
            <w:r>
              <w:rPr>
                <w:rFonts w:ascii="仿宋_GB2312" w:hAnsi="仿宋_GB2312" w:cs="仿宋_GB2312" w:eastAsia="仿宋_GB2312"/>
              </w:rPr>
              <w:t>本项目不接受联合体磋商，不允许分包转包。供应商应提供《非联合体不分包投标声明》。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工程设计资质</w:t>
            </w:r>
          </w:p>
        </w:tc>
        <w:tc>
          <w:tcPr>
            <w:tcW w:type="dxa" w:w="3322"/>
          </w:tcPr>
          <w:p>
            <w:pPr>
              <w:pStyle w:val="null3"/>
            </w:pPr>
            <w:r>
              <w:rPr>
                <w:rFonts w:ascii="仿宋_GB2312" w:hAnsi="仿宋_GB2312" w:cs="仿宋_GB2312" w:eastAsia="仿宋_GB2312"/>
              </w:rPr>
              <w:t>供应商提供建筑行业（建筑工程）专业设计丙级及以上资质证书。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拟派项目负责人提供国家二级及以上注册建筑师执业资格证书。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其他审查内容</w:t>
            </w:r>
          </w:p>
        </w:tc>
        <w:tc>
          <w:tcPr>
            <w:tcW w:type="dxa" w:w="3322"/>
          </w:tcPr>
          <w:p>
            <w:pPr>
              <w:pStyle w:val="null3"/>
            </w:pPr>
            <w:r>
              <w:rPr>
                <w:rFonts w:ascii="仿宋_GB2312" w:hAnsi="仿宋_GB2312" w:cs="仿宋_GB2312" w:eastAsia="仿宋_GB2312"/>
              </w:rPr>
              <w:t>有下列情形之一的，应在符合性审查时按照无效磋商处理： (1)磋商响应文件未按照磋商文件规定要求签署、盖章的；(2)不满足本磋商文件中“服务期限、服务地点、支付方式、支付约定、3.2.5其他要求”的实质性条款要求的； (3)文件有效期不足的或无有效期的； (4)报价超过磋商文件中规定的预算金额或最高限价的；(5)法律、法规和磋商文件规定的其他无效情形。</w:t>
            </w:r>
          </w:p>
        </w:tc>
        <w:tc>
          <w:tcPr>
            <w:tcW w:type="dxa" w:w="1661"/>
          </w:tcPr>
          <w:p>
            <w:pPr>
              <w:pStyle w:val="null3"/>
            </w:pPr>
            <w:r>
              <w:rPr>
                <w:rFonts w:ascii="仿宋_GB2312" w:hAnsi="仿宋_GB2312" w:cs="仿宋_GB2312" w:eastAsia="仿宋_GB2312"/>
              </w:rPr>
              <w:t>响应文件封面 服务响应偏离表.docx 标的清单 承诺书.docx 报价表 9其他资料.docx 商务部分偏离表.docx 响应函 资格证明文件.docx 分项价格表.docx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供应商根据采购需求及项目概况，提供项目分析，包括但不限于①项目背景理解②重难点分析及解决方案。 满⾜项⽬实施需求，⽆瑕疵，计6分；每有⼀项缺项，扣3分，每项出现⼀处瑕疵扣0.5分；存在6处及以上瑕疵或未提供，该项不计分。 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瑕疵定义的内容“同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1项目理解.docx</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供应商根据采购需求提供针对本项目的设计方案，包括但不限于①总体设计方案、设计理念说明②设计平面图、分析图、效果图。③设计技术的可靠性，符合有关国家、行业及省市规范和标准④设计创新、先进技术应用。 满⾜项⽬实施需求，⽆瑕疵，计24分；每有⼀项缺项，扣6分，每项出现⼀处瑕疵扣0.5分；存在12处及以上瑕疵或未提供，该项不计分。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2设计方案.docx</w:t>
            </w:r>
          </w:p>
        </w:tc>
      </w:tr>
      <w:tr>
        <w:tc>
          <w:tcPr>
            <w:tcW w:type="dxa" w:w="831"/>
            <w:vMerge/>
          </w:tcPr>
          <w:p/>
        </w:tc>
        <w:tc>
          <w:tcPr>
            <w:tcW w:type="dxa" w:w="1661"/>
          </w:tcPr>
          <w:p>
            <w:pPr>
              <w:pStyle w:val="null3"/>
            </w:pPr>
            <w:r>
              <w:rPr>
                <w:rFonts w:ascii="仿宋_GB2312" w:hAnsi="仿宋_GB2312" w:cs="仿宋_GB2312" w:eastAsia="仿宋_GB2312"/>
              </w:rPr>
              <w:t>进度计划及保障措施</w:t>
            </w:r>
          </w:p>
        </w:tc>
        <w:tc>
          <w:tcPr>
            <w:tcW w:type="dxa" w:w="2492"/>
          </w:tcPr>
          <w:p>
            <w:pPr>
              <w:pStyle w:val="null3"/>
            </w:pPr>
            <w:r>
              <w:rPr>
                <w:rFonts w:ascii="仿宋_GB2312" w:hAnsi="仿宋_GB2312" w:cs="仿宋_GB2312" w:eastAsia="仿宋_GB2312"/>
              </w:rPr>
              <w:t>根据本项目基本情况制定详细的进度计划及保障措施。包括但不限于①项目进度计划②计划保障措施③关键时间节点把握的情况。 满⾜项⽬实施需求，⽆瑕疵，计9分；每有⼀项缺项，扣3分，每项出现⼀处瑕疵扣0.5分；存在6处及以上瑕疵或未提供，该项不计分。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3进度计划及保障措施.docx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针对本项目有具体的质量保证措施。包括但不限于①质量控制方案②质量体系建设③服务保证措施。 满⾜项⽬实施需求，⽆瑕疵，计6分；每有⼀项缺项，扣2分，每项出现⼀处瑕疵扣0.5分；存在4处及以上瑕疵或未提供，该项不计分。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4质量保证措施.docx</w:t>
            </w:r>
          </w:p>
        </w:tc>
      </w:tr>
      <w:tr>
        <w:tc>
          <w:tcPr>
            <w:tcW w:type="dxa" w:w="831"/>
            <w:vMerge/>
          </w:tcPr>
          <w:p/>
        </w:tc>
        <w:tc>
          <w:tcPr>
            <w:tcW w:type="dxa" w:w="1661"/>
          </w:tcPr>
          <w:p>
            <w:pPr>
              <w:pStyle w:val="null3"/>
            </w:pPr>
            <w:r>
              <w:rPr>
                <w:rFonts w:ascii="仿宋_GB2312" w:hAnsi="仿宋_GB2312" w:cs="仿宋_GB2312" w:eastAsia="仿宋_GB2312"/>
              </w:rPr>
              <w:t>后续服务工作</w:t>
            </w:r>
          </w:p>
        </w:tc>
        <w:tc>
          <w:tcPr>
            <w:tcW w:type="dxa" w:w="2492"/>
          </w:tcPr>
          <w:p>
            <w:pPr>
              <w:pStyle w:val="null3"/>
            </w:pPr>
            <w:r>
              <w:rPr>
                <w:rFonts w:ascii="仿宋_GB2312" w:hAnsi="仿宋_GB2312" w:cs="仿宋_GB2312" w:eastAsia="仿宋_GB2312"/>
              </w:rPr>
              <w:t>根据本项目提供后续服务工作，包括但不限于①施工现场配合②通过相关部门技术性审查③配合完成项目验收相关设计支撑工作。 满⾜项⽬实施需求，⽆瑕疵，计9分；每有⼀项缺项，扣3分，每项出现⼀处瑕疵扣0.5分；存在6处及以上瑕疵或未提供，该项不计分。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5后续服务工作.docx</w:t>
            </w:r>
          </w:p>
        </w:tc>
      </w:tr>
      <w:tr>
        <w:tc>
          <w:tcPr>
            <w:tcW w:type="dxa" w:w="831"/>
            <w:vMerge/>
          </w:tcPr>
          <w:p/>
        </w:tc>
        <w:tc>
          <w:tcPr>
            <w:tcW w:type="dxa" w:w="1661"/>
          </w:tcPr>
          <w:p>
            <w:pPr>
              <w:pStyle w:val="null3"/>
            </w:pPr>
            <w:r>
              <w:rPr>
                <w:rFonts w:ascii="仿宋_GB2312" w:hAnsi="仿宋_GB2312" w:cs="仿宋_GB2312" w:eastAsia="仿宋_GB2312"/>
              </w:rPr>
              <w:t>项目实施团队</w:t>
            </w:r>
          </w:p>
        </w:tc>
        <w:tc>
          <w:tcPr>
            <w:tcW w:type="dxa" w:w="2492"/>
          </w:tcPr>
          <w:p>
            <w:pPr>
              <w:pStyle w:val="null3"/>
            </w:pPr>
            <w:r>
              <w:rPr>
                <w:rFonts w:ascii="仿宋_GB2312" w:hAnsi="仿宋_GB2312" w:cs="仿宋_GB2312" w:eastAsia="仿宋_GB2312"/>
              </w:rPr>
              <w:t>针对本项目配备服务团队，至少包含：①各岗位职责分工②拟投入人员的学历证明、履历经验。 满⾜项⽬实施需求，⽆瑕疵，计6分；每有⼀项缺项，扣3分，每项出现⼀处瑕疵扣0.5分；存在6处及以上瑕疵或未提供，该项不计分。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6项目实施团队.docx</w:t>
            </w:r>
          </w:p>
        </w:tc>
      </w:tr>
      <w:tr>
        <w:tc>
          <w:tcPr>
            <w:tcW w:type="dxa" w:w="831"/>
            <w:vMerge/>
          </w:tcPr>
          <w:p/>
        </w:tc>
        <w:tc>
          <w:tcPr>
            <w:tcW w:type="dxa" w:w="1661"/>
          </w:tcPr>
          <w:p>
            <w:pPr>
              <w:pStyle w:val="null3"/>
            </w:pPr>
            <w:r>
              <w:rPr>
                <w:rFonts w:ascii="仿宋_GB2312" w:hAnsi="仿宋_GB2312" w:cs="仿宋_GB2312" w:eastAsia="仿宋_GB2312"/>
              </w:rPr>
              <w:t>人员职称</w:t>
            </w:r>
          </w:p>
        </w:tc>
        <w:tc>
          <w:tcPr>
            <w:tcW w:type="dxa" w:w="2492"/>
          </w:tcPr>
          <w:p>
            <w:pPr>
              <w:pStyle w:val="null3"/>
            </w:pPr>
            <w:r>
              <w:rPr>
                <w:rFonts w:ascii="仿宋_GB2312" w:hAnsi="仿宋_GB2312" w:cs="仿宋_GB2312" w:eastAsia="仿宋_GB2312"/>
              </w:rPr>
              <w:t>项目组成员(项目负责人除外)具备高级职称的，每有一个得2分，具有中级职称的，每有一个得1分，满分5分。 注：同一人员提供多个职称证明材料的，以最高职称材料为准。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7人员职称.docx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合同扫描件（以合同签订日期为准），扫描件必须清晰体现签约主体和日期、项目名称及内容、合同金额等核心要素，否则不计为有效业绩。每提供1个有效业绩得1分，最高得5分。 备注：响应文件中提供合同扫描件加盖公章。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即满足磋商文件要求且价格最低的磋商报价为评标基准价，其价格分为满分。其他供应商的价格分统一按照下列公式计算：价格分= (评标基准价／磋商报价)×报价分值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详见附件：1项目理解.docx</w:t>
      </w:r>
    </w:p>
    <w:p>
      <w:pPr>
        <w:pStyle w:val="null3"/>
        <w:ind w:firstLine="960"/>
      </w:pPr>
      <w:r>
        <w:rPr>
          <w:rFonts w:ascii="仿宋_GB2312" w:hAnsi="仿宋_GB2312" w:cs="仿宋_GB2312" w:eastAsia="仿宋_GB2312"/>
        </w:rPr>
        <w:t>详见附件：2设计方案.docx</w:t>
      </w:r>
    </w:p>
    <w:p>
      <w:pPr>
        <w:pStyle w:val="null3"/>
        <w:ind w:firstLine="960"/>
      </w:pPr>
      <w:r>
        <w:rPr>
          <w:rFonts w:ascii="仿宋_GB2312" w:hAnsi="仿宋_GB2312" w:cs="仿宋_GB2312" w:eastAsia="仿宋_GB2312"/>
        </w:rPr>
        <w:t>详见附件：3进度计划及保障措施.docx</w:t>
      </w:r>
    </w:p>
    <w:p>
      <w:pPr>
        <w:pStyle w:val="null3"/>
        <w:ind w:firstLine="960"/>
      </w:pPr>
      <w:r>
        <w:rPr>
          <w:rFonts w:ascii="仿宋_GB2312" w:hAnsi="仿宋_GB2312" w:cs="仿宋_GB2312" w:eastAsia="仿宋_GB2312"/>
        </w:rPr>
        <w:t>详见附件：4质量保证措施.docx</w:t>
      </w:r>
    </w:p>
    <w:p>
      <w:pPr>
        <w:pStyle w:val="null3"/>
        <w:ind w:firstLine="960"/>
      </w:pPr>
      <w:r>
        <w:rPr>
          <w:rFonts w:ascii="仿宋_GB2312" w:hAnsi="仿宋_GB2312" w:cs="仿宋_GB2312" w:eastAsia="仿宋_GB2312"/>
        </w:rPr>
        <w:t>详见附件：5后续服务工作.docx</w:t>
      </w:r>
    </w:p>
    <w:p>
      <w:pPr>
        <w:pStyle w:val="null3"/>
        <w:ind w:firstLine="960"/>
      </w:pPr>
      <w:r>
        <w:rPr>
          <w:rFonts w:ascii="仿宋_GB2312" w:hAnsi="仿宋_GB2312" w:cs="仿宋_GB2312" w:eastAsia="仿宋_GB2312"/>
        </w:rPr>
        <w:t>详见附件：6项目实施团队.docx</w:t>
      </w:r>
    </w:p>
    <w:p>
      <w:pPr>
        <w:pStyle w:val="null3"/>
        <w:ind w:firstLine="960"/>
      </w:pPr>
      <w:r>
        <w:rPr>
          <w:rFonts w:ascii="仿宋_GB2312" w:hAnsi="仿宋_GB2312" w:cs="仿宋_GB2312" w:eastAsia="仿宋_GB2312"/>
        </w:rPr>
        <w:t>详见附件：7人员职称.docx</w:t>
      </w:r>
    </w:p>
    <w:p>
      <w:pPr>
        <w:pStyle w:val="null3"/>
        <w:ind w:firstLine="960"/>
      </w:pPr>
      <w:r>
        <w:rPr>
          <w:rFonts w:ascii="仿宋_GB2312" w:hAnsi="仿宋_GB2312" w:cs="仿宋_GB2312" w:eastAsia="仿宋_GB2312"/>
        </w:rPr>
        <w:t>详见附件：8业绩.docx</w:t>
      </w:r>
    </w:p>
    <w:p>
      <w:pPr>
        <w:pStyle w:val="null3"/>
        <w:ind w:firstLine="960"/>
      </w:pPr>
      <w:r>
        <w:rPr>
          <w:rFonts w:ascii="仿宋_GB2312" w:hAnsi="仿宋_GB2312" w:cs="仿宋_GB2312" w:eastAsia="仿宋_GB2312"/>
        </w:rPr>
        <w:t>详见附件：9其他资料.docx</w:t>
      </w:r>
    </w:p>
    <w:p>
      <w:pPr>
        <w:pStyle w:val="null3"/>
        <w:ind w:firstLine="960"/>
      </w:pPr>
      <w:r>
        <w:rPr>
          <w:rFonts w:ascii="仿宋_GB2312" w:hAnsi="仿宋_GB2312" w:cs="仿宋_GB2312" w:eastAsia="仿宋_GB2312"/>
        </w:rPr>
        <w:t>详见附件：中小企业声明函.docx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