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版本号：SCZD2026-DY-0845-00120260525001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CT球管采购项目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SCZD2026-DY-0845-001</w:t>
      </w:r>
      <w:r>
        <w:br/>
      </w:r>
      <w:r>
        <w:br/>
      </w:r>
      <w:r>
        <w:br/>
      </w:r>
      <w:r>
        <w:br/>
      </w:r>
      <w:r>
        <w:br/>
      </w:r>
    </w:p>
    <w:p>
      <w:pPr>
        <w:pStyle w:val="null3"/>
        <w:jc w:val="center"/>
        <w:outlineLvl w:val="5"/>
      </w:pPr>
      <w:r>
        <w:rPr>
          <w:rFonts w:ascii="仿宋_GB2312" w:hAnsi="仿宋_GB2312" w:cs="仿宋_GB2312" w:eastAsia="仿宋_GB2312"/>
          <w:sz w:val="15"/>
          <w:b/>
        </w:rPr>
        <w:t>西乡县人民医院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西乡县人民医院</w:t>
      </w:r>
      <w:r>
        <w:rPr>
          <w:rFonts w:ascii="仿宋_GB2312" w:hAnsi="仿宋_GB2312" w:cs="仿宋_GB2312" w:eastAsia="仿宋_GB2312"/>
        </w:rPr>
        <w:t>委托，拟对</w:t>
      </w:r>
      <w:r>
        <w:rPr>
          <w:rFonts w:ascii="仿宋_GB2312" w:hAnsi="仿宋_GB2312" w:cs="仿宋_GB2312" w:eastAsia="仿宋_GB2312"/>
        </w:rPr>
        <w:t>CT球管采购项目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SCZD2026-DY-0845-001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CT球管采购项目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本次采购16排CT球管一个。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 2.供应商在递交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谈判； 3.供应商为经销商的：若谈判产品属于第二类医疗器械管理的，应具有第二类医疗器械经营备案凭证（须在其经营范围内）；若谈判产品属于第三类医疗器械管理的，应具有医疗器械经营许可证（须在其经营范围内）。投标人为制造厂家的：应具有医疗器械生产许可证（投标产品须在其生产范围内），且具有本条前述要求的相关医疗器械经营资质； 4.谈判产品属于医疗器械管理范围的须提供医疗器械注册证。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城南街道办河滨路2号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西乡县人民医院经办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0916--6324309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采购包1：499,000.00元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采购包1：499,000.00元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西乡县人民医院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西乡县人民医院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本次采购16排CT球管一个。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499,000.00</w:t>
      </w:r>
    </w:p>
    <w:p>
      <w:pPr>
        <w:pStyle w:val="null3"/>
      </w:pPr>
      <w:r>
        <w:rPr>
          <w:rFonts w:ascii="仿宋_GB2312" w:hAnsi="仿宋_GB2312" w:cs="仿宋_GB2312" w:eastAsia="仿宋_GB2312"/>
        </w:rPr>
        <w:t>采购包最高限价（元）: 499,000.00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499,000.00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1.球管选型于技术参数：按设备Emotion16型号对应球管Dura-422，最大管电压：140KV；灯丝电流：≈7.5；热容量=5MHU；双焦点：小焦点≤0.8×0.5 mm，大焦点≤1.1×1.0 mm。</w:t>
            </w:r>
          </w:p>
          <w:p>
            <w:pPr>
              <w:pStyle w:val="null3"/>
              <w:jc w:val="both"/>
            </w:pPr>
            <w:r>
              <w:rPr>
                <w:rFonts w:ascii="仿宋_GB2312" w:hAnsi="仿宋_GB2312" w:cs="仿宋_GB2312" w:eastAsia="仿宋_GB2312"/>
                <w:sz w:val="28"/>
              </w:rPr>
              <w:t>2.服务内容：旧球管拆除、新球管安装、高压连接、校准、空气校准、水模校准、图像质量优化、整机功能恢复。</w:t>
            </w:r>
          </w:p>
          <w:p>
            <w:pPr>
              <w:pStyle w:val="null3"/>
              <w:jc w:val="both"/>
            </w:pPr>
            <w:r>
              <w:rPr>
                <w:rFonts w:ascii="仿宋_GB2312" w:hAnsi="仿宋_GB2312" w:cs="仿宋_GB2312" w:eastAsia="仿宋_GB2312"/>
                <w:sz w:val="28"/>
              </w:rPr>
              <w:t>3.质保期：一年且不超过10万秒次。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进度款，合同签订，待设备安装调试完毕后，达到付款条件起30个工作日内，支付合同总金额的100.0%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②其他内容：提供汉中市基本资格条件承诺函。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提供汉中市基本资格条件承诺函。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 2.供应商在递交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谈判； 3.供应商为经销商的：若谈判产品属于第二类医疗器械管理的，应具有第二类医疗器械经营备案凭证（须在其经营范围内）；若谈判产品属于第三类医疗器械管理的，应具有医疗器械经营许可证（须在其经营范围内）。投标人为制造厂家的：应具有医疗器械生产许可证（投标产品须在其生产范围内），且具有本条前述要求的相关医疗器械经营资质； 4.谈判产品属于医疗器械管理范围的须提供医疗器械注册证。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供应商满足所有技术、商务要求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投标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1.响应文件中需要签字盖章的内容； 2.供应商无超过采购预算； 3.供应商满足响应文件的有效期。</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项目实施方案 响应函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