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版本号：HSGJ2026-15120260624001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社会化渠道销售管理系统维护服务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HSGJ2026-151</w:t>
      </w:r>
      <w:r>
        <w:br/>
      </w:r>
      <w:r>
        <w:br/>
      </w:r>
      <w:r>
        <w:br/>
      </w:r>
    </w:p>
    <w:p>
      <w:pPr>
        <w:pStyle w:val="null3"/>
        <w:jc w:val="center"/>
        <w:outlineLvl w:val="5"/>
      </w:pPr>
      <w:r>
        <w:rPr>
          <w:rFonts w:ascii="仿宋_GB2312" w:hAnsi="仿宋_GB2312" w:cs="仿宋_GB2312" w:eastAsia="仿宋_GB2312"/>
          <w:sz w:val="15"/>
          <w:b/>
        </w:rPr>
        <w:t>陕西省福利彩票发行中心</w:t>
      </w:r>
    </w:p>
    <w:p>
      <w:pPr>
        <w:pStyle w:val="null3"/>
        <w:jc w:val="center"/>
        <w:outlineLvl w:val="5"/>
      </w:pPr>
      <w:r>
        <w:rPr>
          <w:rFonts w:ascii="仿宋_GB2312" w:hAnsi="仿宋_GB2312" w:cs="仿宋_GB2312" w:eastAsia="仿宋_GB2312"/>
          <w:sz w:val="15"/>
          <w:b/>
        </w:rPr>
        <w:t>华晟国际项目管理有限公司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陕西省福利彩票发行中心</w:t>
      </w:r>
      <w:r>
        <w:rPr>
          <w:rFonts w:ascii="仿宋_GB2312" w:hAnsi="仿宋_GB2312" w:cs="仿宋_GB2312" w:eastAsia="仿宋_GB2312"/>
        </w:rPr>
        <w:t>委托，拟对</w:t>
      </w:r>
      <w:r>
        <w:rPr>
          <w:rFonts w:ascii="仿宋_GB2312" w:hAnsi="仿宋_GB2312" w:cs="仿宋_GB2312" w:eastAsia="仿宋_GB2312"/>
        </w:rPr>
        <w:t>社会化渠道销售管理系统维护服务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HSGJ2026-151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社会化渠道销售管理系统维护服务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社会化渠道销售管理系统维护服务，具体采购内容详见第三章。</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采购包1（社会化渠道销售管理系统维护服务）：属于专门面向中小企业采购。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2、财务状况报告：提供2024或2025年度的财务审计报告或开标前六个月内其基本存款账户开户银行出具的资信证明（附开户许可证或开户备案证明或基本账户信息）；</w:t>
      </w:r>
    </w:p>
    <w:p>
      <w:pPr>
        <w:pStyle w:val="null3"/>
      </w:pPr>
      <w:r>
        <w:rPr>
          <w:rFonts w:ascii="仿宋_GB2312" w:hAnsi="仿宋_GB2312" w:cs="仿宋_GB2312" w:eastAsia="仿宋_GB2312"/>
        </w:rPr>
        <w:t>3、税收缴纳证明：提供2025年7月至今已缴存的至少一个月的纳税证明或完税证明，依法免税的单位应提供相关证明材料；</w:t>
      </w:r>
    </w:p>
    <w:p>
      <w:pPr>
        <w:pStyle w:val="null3"/>
      </w:pPr>
      <w:r>
        <w:rPr>
          <w:rFonts w:ascii="仿宋_GB2312" w:hAnsi="仿宋_GB2312" w:cs="仿宋_GB2312" w:eastAsia="仿宋_GB2312"/>
        </w:rPr>
        <w:t>4、社会保障资金缴纳证明：提供2025年7月至今已缴存的至少一个月的社会保障资金缴存单据或社保机构开具的社会保险参保缴费情况证明，依法不需要缴纳社会保障资金的单位应提供相关证明材料；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5、无重大违法记录声明：近3年内在经营活动中没有重大违法记录的书面声明；</w:t>
      </w:r>
    </w:p>
    <w:p>
      <w:pPr>
        <w:pStyle w:val="null3"/>
      </w:pPr>
      <w:r>
        <w:rPr>
          <w:rFonts w:ascii="仿宋_GB2312" w:hAnsi="仿宋_GB2312" w:cs="仿宋_GB2312" w:eastAsia="仿宋_GB2312"/>
        </w:rPr>
        <w:t>6、专业技术能力证明：具备履行合同所必需的设备和专业技术能力的证明材料(由供应商根据项目需求提供说明材料或者承诺)；</w:t>
      </w:r>
    </w:p>
    <w:p>
      <w:pPr>
        <w:pStyle w:val="null3"/>
      </w:pPr>
      <w:r>
        <w:rPr>
          <w:rFonts w:ascii="仿宋_GB2312" w:hAnsi="仿宋_GB2312" w:cs="仿宋_GB2312" w:eastAsia="仿宋_GB2312"/>
        </w:rPr>
        <w:t>7、法定代表人委托授权书\身份证明：供应商应授权合法的人员参加单一来源采购全过程，其中法定代表人直接参加单一来源采购的，须出具法定代表人身份证，并与营业执照上信息一致。法定代表人授权代表参加投标的，须出具法定代表人授权书及授权代表身份证。（其他组织或自然人参照执行）</w:t>
      </w:r>
    </w:p>
    <w:p>
      <w:pPr>
        <w:pStyle w:val="null3"/>
      </w:pPr>
      <w:r>
        <w:rPr>
          <w:rFonts w:ascii="仿宋_GB2312" w:hAnsi="仿宋_GB2312" w:cs="仿宋_GB2312" w:eastAsia="仿宋_GB2312"/>
        </w:rPr>
        <w:t>8、信用查询：在“信用中国”网站（www.creditchina.gov.cn)和“中国政府采购网”（ccgp.gov.cn）对响应单位信用信息进行查询，如果响应单位被查实在开标前已列入失信被执行人、重大税收违法失信主体、政府采购严重违法失信行为记录名单，其响应为无效；（以开标当天代理公司核查为准）</w:t>
      </w:r>
    </w:p>
    <w:p>
      <w:pPr>
        <w:pStyle w:val="null3"/>
      </w:pPr>
      <w:r>
        <w:rPr>
          <w:rFonts w:ascii="仿宋_GB2312" w:hAnsi="仿宋_GB2312" w:cs="仿宋_GB2312" w:eastAsia="仿宋_GB2312"/>
        </w:rPr>
        <w:t>9、协商保证金：单一来源采购保证金缴纳凭证或担保机构出具的保函（供应商若提交保函，应于响应文件递交截止时间前将保函扫描件发送至代理机构邮箱）；</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陕西省福利彩票发行中心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西安市未央路副102号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029-65652538</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屈晨、杨帆、贾娜娜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029-81779899转8009</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采购包1：785,000.00元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采购包1：785,000.00元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开户名称：华晟国际项目管理有限公司</w:t>
            </w:r>
          </w:p>
          <w:p>
            <w:pPr>
              <w:pStyle w:val="null3"/>
            </w:pPr>
            <w:r>
              <w:rPr>
                <w:rFonts w:ascii="仿宋_GB2312" w:hAnsi="仿宋_GB2312" w:cs="仿宋_GB2312" w:eastAsia="仿宋_GB2312"/>
              </w:rPr>
              <w:t>开户银行：建设银行西安劳动路支行</w:t>
            </w:r>
          </w:p>
          <w:p>
            <w:pPr>
              <w:pStyle w:val="null3"/>
            </w:pPr>
            <w:r>
              <w:rPr>
                <w:rFonts w:ascii="仿宋_GB2312" w:hAnsi="仿宋_GB2312" w:cs="仿宋_GB2312" w:eastAsia="仿宋_GB2312"/>
              </w:rPr>
              <w:t>银行账号：610501 740015 00000 427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代理服务费收费标准：招标代理服务费收取按照国家计委颁布的《招标代理服务收费管理暂行办法》（计价格[2002]1980号）和（发改办价格[2003]857号）收费标准计取。银行户名：华晟国际项目管理有限公司 开户银行：建设银行西安劳动路支行 账 号：610501 740015 00000 427 转账事由：HSGJ2026-151项目代理服务费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陕西省福利彩票发行中心</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陕西省福利彩票发行中心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联系人：屈晨、杨帆、贾娜娜</w:t>
      </w:r>
    </w:p>
    <w:p>
      <w:pPr>
        <w:pStyle w:val="null3"/>
      </w:pPr>
      <w:r>
        <w:rPr>
          <w:rFonts w:ascii="仿宋_GB2312" w:hAnsi="仿宋_GB2312" w:cs="仿宋_GB2312" w:eastAsia="仿宋_GB2312"/>
        </w:rPr>
        <w:t>联系电话：029-81779899转8009</w:t>
      </w:r>
    </w:p>
    <w:p>
      <w:pPr>
        <w:pStyle w:val="null3"/>
      </w:pPr>
      <w:r>
        <w:rPr>
          <w:rFonts w:ascii="仿宋_GB2312" w:hAnsi="仿宋_GB2312" w:cs="仿宋_GB2312" w:eastAsia="仿宋_GB2312"/>
        </w:rPr>
        <w:t>地址：西安市⾼新路88号尚品国际B幢25层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社会化渠道销售管理系统维护服务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785,000.00</w:t>
      </w:r>
    </w:p>
    <w:p>
      <w:pPr>
        <w:pStyle w:val="null3"/>
      </w:pPr>
      <w:r>
        <w:rPr>
          <w:rFonts w:ascii="仿宋_GB2312" w:hAnsi="仿宋_GB2312" w:cs="仿宋_GB2312" w:eastAsia="仿宋_GB2312"/>
        </w:rPr>
        <w:t>采购包最高限价（元）: 785,000.00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社会化渠道销售管理系统软件技术维护服务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785,000.00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标的名称：社会化渠道销售管理系统软件技术维护服务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jc w:val="both"/>
            </w:pPr>
            <w:r>
              <w:rPr>
                <w:rFonts w:ascii="仿宋_GB2312" w:hAnsi="仿宋_GB2312" w:cs="仿宋_GB2312" w:eastAsia="仿宋_GB2312"/>
                <w:sz w:val="24"/>
              </w:rPr>
              <w:t>系统软件维护服务内容包括：系统软件日常维护服务、省中心新需求的研发服务、新彩票游戏的系统开发及实施、新增社会化渠道的接入服务、系统新功能使用培训服务、省中心新的社会化机型适配服务、省中心各类营销活动开展开发和技术保障服务、机房硬件扩充或更换技术服务等。</w:t>
            </w:r>
          </w:p>
          <w:p>
            <w:pPr>
              <w:pStyle w:val="null3"/>
              <w:jc w:val="both"/>
            </w:pPr>
            <w:r>
              <w:rPr>
                <w:rFonts w:ascii="仿宋_GB2312" w:hAnsi="仿宋_GB2312" w:cs="仿宋_GB2312" w:eastAsia="仿宋_GB2312"/>
                <w:sz w:val="24"/>
                <w:b/>
                <w:color w:val="000000"/>
              </w:rPr>
              <w:t>二、</w:t>
            </w:r>
            <w:r>
              <w:rPr>
                <w:rFonts w:ascii="仿宋_GB2312" w:hAnsi="仿宋_GB2312" w:cs="仿宋_GB2312" w:eastAsia="仿宋_GB2312"/>
                <w:sz w:val="24"/>
                <w:b/>
              </w:rPr>
              <w:t>服务要求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在合同期内，供应商按要求完成新软件的研发及原有软件的升级，并保证上述软件的正常运行。供应商最新开发的其他相关软件、技术创新及升级等，应及时告知采购人，并按要求提供给采购人。采购人可根据实际需求要求供应商为其开发其他相关软件及其升级等技术支持服务。采购人需求的提出应适当考虑技术上的可行性，当双方在技术可行性上不能达成共识时，采购人有权邀请专家对技术可行性进行论证，并以此结论作为履行合同的依据。</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采购人提出的合理的现有软件功能修改，以及新功能、新营销活动的开发等工作，供应商软件功能修改不超过</w:t>
            </w:r>
            <w:r>
              <w:rPr>
                <w:rFonts w:ascii="仿宋_GB2312" w:hAnsi="仿宋_GB2312" w:cs="仿宋_GB2312" w:eastAsia="仿宋_GB2312"/>
                <w:sz w:val="24"/>
              </w:rPr>
              <w:t>20个工作日，新软件研发不超过30个工作日完成。</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供应商为采购人提供必要的现运行软件的功能修改部署时，需保证采购人软件系统的正常运行，不得影响采购人正常的销售经营活动。</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供应商对故障的响应时间不超过</w:t>
            </w:r>
            <w:r>
              <w:rPr>
                <w:rFonts w:ascii="仿宋_GB2312" w:hAnsi="仿宋_GB2312" w:cs="仿宋_GB2312" w:eastAsia="仿宋_GB2312"/>
                <w:sz w:val="24"/>
              </w:rPr>
              <w:t>30分钟，并在2小时内解决故障，若发生重大故障应在1小时内派遣资深技术人员前往采购人现场，4小时内解决。故障解决后提供详细的书面报告给采购人；</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供应商在服务期内必须向采购人安排不少于</w:t>
            </w:r>
            <w:r>
              <w:rPr>
                <w:rFonts w:ascii="仿宋_GB2312" w:hAnsi="仿宋_GB2312" w:cs="仿宋_GB2312" w:eastAsia="仿宋_GB2312"/>
                <w:sz w:val="24"/>
              </w:rPr>
              <w:t>5名的技术人员。具体工作包括每日为采购人现在运行软件系统巡查一次；每周至少为采购人现在运行软硬件系统进行巡检、维护一次；并及时向采购人提供巡检维护书面记录和报告；</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在合同执行期间，供应商必须对采购人在系统扩充、设备升级等方面提供技术支持和服务；</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供应商应为采购人提供软件方面相关的技术咨询服务，以书面形式提供；</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服务期满供应商需提供该年度的软件系统维护总结报告，其中详细记录维护内容、维护所用时间等，并分析软件故障原因以及故障预防措施或软件更改内容；</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在为采购人进行诸如机房搬迁、软件系统升级等大型重要操作时，供应商需先行与采购人进行充分的沟通，并提交详细技术方案、风险评估、故障处理预案等文档，在获得采购人认同后方可实施；</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为采购人提供的软件产品是要基于采购人现运行的社会化渠道管理系统而开发，在负责新产品升级实施时必须保证采购人现有系统的安全稳定运行，供应商所提供的软件的开发、上线和服务的持续升级</w:t>
            </w:r>
          </w:p>
          <w:p>
            <w:pPr>
              <w:pStyle w:val="null3"/>
              <w:jc w:val="both"/>
            </w:pPr>
            <w:r>
              <w:rPr>
                <w:rFonts w:ascii="仿宋_GB2312" w:hAnsi="仿宋_GB2312" w:cs="仿宋_GB2312" w:eastAsia="仿宋_GB2312"/>
                <w:sz w:val="24"/>
                <w:b/>
              </w:rPr>
              <w:t>附件：</w:t>
            </w:r>
          </w:p>
          <w:tbl>
            <w:tblPr>
              <w:tblInd w:type="dxa" w:w="120"/>
              <w:tblBorders>
                <w:top w:val="none" w:color="000000" w:sz="4"/>
                <w:left w:val="none" w:color="000000" w:sz="4"/>
                <w:bottom w:val="none" w:color="000000" w:sz="4"/>
                <w:right w:val="none" w:color="000000" w:sz="4"/>
                <w:insideH w:val="none"/>
                <w:insideV w:val="none"/>
              </w:tblBorders>
            </w:tblPr>
            <w:tblGrid>
              <w:gridCol w:w="236"/>
              <w:gridCol w:w="642"/>
              <w:gridCol w:w="1675"/>
            </w:tblGrid>
            <w:tr>
              <w:tc>
                <w:tcPr>
                  <w:tcW w:type="dxa" w:w="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6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项目</w:t>
                  </w:r>
                </w:p>
              </w:tc>
              <w:tc>
                <w:tcPr>
                  <w:tcW w:type="dxa" w:w="16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服务要求</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系统升级现场实施部署服务</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1、社会化渠道管理平台软件的部署和升级，协助采购人进行系统上线及安装配置等工作</w:t>
                  </w:r>
                </w:p>
                <w:p>
                  <w:pPr>
                    <w:pStyle w:val="null3"/>
                    <w:jc w:val="both"/>
                  </w:pPr>
                  <w:r>
                    <w:rPr>
                      <w:rFonts w:ascii="仿宋_GB2312" w:hAnsi="仿宋_GB2312" w:cs="仿宋_GB2312" w:eastAsia="仿宋_GB2312"/>
                      <w:sz w:val="24"/>
                    </w:rPr>
                    <w:t>2、各类游戏促销工具的升级实施</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系统新需求、新游戏的开发、测试和实施服务</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1.采购人提出的彩票销售相关以及新游戏、新玩法等各类新需求所涉及的软件开发、测试和实施，包括系统平台软件和社会化售彩终端软件</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营销活动开发、实施、活动配合服务以及与相关第三方业务对接服务</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1.采购人各类营销活动需要社会化渠道管理系统的相关开发、配置、服务、监控等配合工作</w:t>
                  </w:r>
                </w:p>
                <w:p>
                  <w:pPr>
                    <w:pStyle w:val="null3"/>
                    <w:jc w:val="both"/>
                  </w:pPr>
                  <w:r>
                    <w:rPr>
                      <w:rFonts w:ascii="仿宋_GB2312" w:hAnsi="仿宋_GB2312" w:cs="仿宋_GB2312" w:eastAsia="仿宋_GB2312"/>
                      <w:sz w:val="24"/>
                    </w:rPr>
                    <w:t>2.与微信公众号、APP、热线系统等各类第三方平台的营销活动的开发、对接、调试、支持等工作，例如兑换券核销、加奖、扫码营销等</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新设备、新机型适配服务</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1.采购人采购的社会化销售新设备、新机型的适配、测试服务</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系统安全保障服务</w:t>
                  </w:r>
                </w:p>
              </w:tc>
              <w:tc>
                <w:tcPr>
                  <w:tcW w:type="dxa" w:w="16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1.保障系统日常运行安全、密码安全等，积极自查系统漏洞并及时修补</w:t>
                  </w:r>
                  <w:r>
                    <w:br/>
                  </w:r>
                  <w:r>
                    <w:rPr>
                      <w:rFonts w:ascii="仿宋_GB2312" w:hAnsi="仿宋_GB2312" w:cs="仿宋_GB2312" w:eastAsia="仿宋_GB2312"/>
                      <w:sz w:val="24"/>
                    </w:rPr>
                    <w:t>2.配合采购人关于系统的等保测评相关工作，及时修补发现漏洞</w:t>
                  </w:r>
                  <w:r>
                    <w:br/>
                  </w:r>
                  <w:r>
                    <w:rPr>
                      <w:rFonts w:ascii="仿宋_GB2312" w:hAnsi="仿宋_GB2312" w:cs="仿宋_GB2312" w:eastAsia="仿宋_GB2312"/>
                      <w:sz w:val="24"/>
                    </w:rPr>
                    <w:t>3.配合采购人攻防演练等活动，保障系统安全稳定</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系统资金对账及资金风险监控、分析及配合处理服务</w:t>
                  </w:r>
                </w:p>
              </w:tc>
              <w:tc>
                <w:tcPr>
                  <w:tcW w:type="dxa" w:w="16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1.配合采购人完成社会化渠道管理系统与电子支付系统、彩票销售主系统等各方的彩票、资金的对账工作；</w:t>
                  </w:r>
                </w:p>
                <w:p>
                  <w:pPr>
                    <w:pStyle w:val="null3"/>
                    <w:jc w:val="both"/>
                  </w:pPr>
                  <w:r>
                    <w:rPr>
                      <w:rFonts w:ascii="仿宋_GB2312" w:hAnsi="仿宋_GB2312" w:cs="仿宋_GB2312" w:eastAsia="仿宋_GB2312"/>
                      <w:sz w:val="24"/>
                    </w:rPr>
                    <w:t>2.提供购彩、兑奖资金业务的监控、分析服务、问题配合处理等服务；确保社会化渠道管理系统福彩资金安全；</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系统报表的定制服务</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1.根据采购人各个业务部门的报表要求，定制满足不同部门、不同业务的系统报表；</w:t>
                  </w:r>
                </w:p>
                <w:p>
                  <w:pPr>
                    <w:pStyle w:val="null3"/>
                    <w:jc w:val="both"/>
                  </w:pPr>
                  <w:r>
                    <w:rPr>
                      <w:rFonts w:ascii="仿宋_GB2312" w:hAnsi="仿宋_GB2312" w:cs="仿宋_GB2312" w:eastAsia="仿宋_GB2312"/>
                      <w:sz w:val="24"/>
                    </w:rPr>
                    <w:t>2.基于采购人以及采购人下属地市福彩的各类营销活动、工作汇报等的临时报表需求，提供报表定制开发服务；</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新增社会化渠道的接入服务</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1.根据采购人需求，配合新渠道的配置、对接、开发、调试、培训等服务</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系统培训服务</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1.系统功能升级时，为采购人提供系统新功能、新业务培训服务；</w:t>
                  </w:r>
                </w:p>
                <w:p>
                  <w:pPr>
                    <w:pStyle w:val="null3"/>
                    <w:jc w:val="both"/>
                  </w:pPr>
                  <w:r>
                    <w:rPr>
                      <w:rFonts w:ascii="仿宋_GB2312" w:hAnsi="仿宋_GB2312" w:cs="仿宋_GB2312" w:eastAsia="仿宋_GB2312"/>
                      <w:sz w:val="24"/>
                    </w:rPr>
                    <w:t>2.采购人招聘新员工、招募新渠道时，需要做好新员工、新渠道的培训服务；</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系统日常巡检服务</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1.除彩票休市外，每日提供平台软件、数据库等运行情况巡检工作，排查潜在的风险</w:t>
                  </w:r>
                </w:p>
                <w:p>
                  <w:pPr>
                    <w:pStyle w:val="null3"/>
                    <w:jc w:val="both"/>
                  </w:pPr>
                  <w:r>
                    <w:rPr>
                      <w:rFonts w:ascii="仿宋_GB2312" w:hAnsi="仿宋_GB2312" w:cs="仿宋_GB2312" w:eastAsia="仿宋_GB2312"/>
                      <w:sz w:val="24"/>
                    </w:rPr>
                    <w:t>2.每月不少于2次的定期系统软硬件运行情况现场巡检工作，排查潜在的风险</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系统故障修复升级服务</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1.系统日常故障快速恢复服务</w:t>
                  </w:r>
                </w:p>
                <w:p>
                  <w:pPr>
                    <w:pStyle w:val="null3"/>
                    <w:jc w:val="both"/>
                  </w:pPr>
                  <w:r>
                    <w:rPr>
                      <w:rFonts w:ascii="仿宋_GB2312" w:hAnsi="仿宋_GB2312" w:cs="仿宋_GB2312" w:eastAsia="仿宋_GB2312"/>
                      <w:sz w:val="24"/>
                    </w:rPr>
                    <w:t>2.系统关键问题现场恢复服务</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系统性能优化服务</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根据采购人的需求及新系统的实际情况，适时提供彩票系统性能优化服务，例如：调整系统软件参数、调整数据库选项参数、优化应用程序结构设计、优化应用程序流程设计等。</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系统基础架构运维服务</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配合采购人进行系统基础软硬件架构环境的巡检、运维工作，例如网络、存储、主机等</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系统数据库运维服务</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1、性能优化：根据彩票业务发展情况，进行数据库性能评估，核心参数调优，SQL语句调优；</w:t>
                  </w:r>
                </w:p>
                <w:p>
                  <w:pPr>
                    <w:pStyle w:val="null3"/>
                    <w:jc w:val="both"/>
                  </w:pPr>
                  <w:r>
                    <w:rPr>
                      <w:rFonts w:ascii="仿宋_GB2312" w:hAnsi="仿宋_GB2312" w:cs="仿宋_GB2312" w:eastAsia="仿宋_GB2312"/>
                      <w:sz w:val="24"/>
                    </w:rPr>
                    <w:t>2、空间扩充：根据彩票业务发展情况，适时进行数据存储空间的扩充；</w:t>
                  </w:r>
                </w:p>
                <w:p>
                  <w:pPr>
                    <w:pStyle w:val="null3"/>
                    <w:jc w:val="both"/>
                  </w:pPr>
                  <w:r>
                    <w:rPr>
                      <w:rFonts w:ascii="仿宋_GB2312" w:hAnsi="仿宋_GB2312" w:cs="仿宋_GB2312" w:eastAsia="仿宋_GB2312"/>
                      <w:sz w:val="24"/>
                    </w:rPr>
                    <w:t>3、备份与恢复：协助采购人进行数据库备份，发生紧急情况恢复数据库；</w:t>
                  </w:r>
                </w:p>
                <w:p>
                  <w:pPr>
                    <w:pStyle w:val="null3"/>
                    <w:jc w:val="both"/>
                  </w:pPr>
                  <w:r>
                    <w:rPr>
                      <w:rFonts w:ascii="仿宋_GB2312" w:hAnsi="仿宋_GB2312" w:cs="仿宋_GB2312" w:eastAsia="仿宋_GB2312"/>
                      <w:sz w:val="24"/>
                    </w:rPr>
                    <w:t>4、数据迁移：根据采购人的业务发展要求，协助采购人将数据库迁移到新的设备上，确保业务连贯性；</w:t>
                  </w:r>
                </w:p>
                <w:p>
                  <w:pPr>
                    <w:pStyle w:val="null3"/>
                    <w:jc w:val="both"/>
                  </w:pPr>
                  <w:r>
                    <w:rPr>
                      <w:rFonts w:ascii="仿宋_GB2312" w:hAnsi="仿宋_GB2312" w:cs="仿宋_GB2312" w:eastAsia="仿宋_GB2312"/>
                      <w:sz w:val="24"/>
                    </w:rPr>
                    <w:t>5、故障排除：通过本地、远程等方式实施故障排除；</w:t>
                  </w:r>
                </w:p>
                <w:p>
                  <w:pPr>
                    <w:pStyle w:val="null3"/>
                    <w:jc w:val="both"/>
                  </w:pPr>
                  <w:r>
                    <w:rPr>
                      <w:rFonts w:ascii="仿宋_GB2312" w:hAnsi="仿宋_GB2312" w:cs="仿宋_GB2312" w:eastAsia="仿宋_GB2312"/>
                      <w:sz w:val="24"/>
                    </w:rPr>
                    <w:t>6、预防性巡检：定期提供预防性巡检，完成系统参数、配置调优</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机房硬件扩充或更换技术服务</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在采购人进行硬件环境的扩充、更换的情况下，配合系统的平滑迁移、切换，保证业务无缝衔接</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系统运营客服支持服务</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配合采购人业务部门、福彩销售公司进行客户投诉相关问题的分析和处理工作；</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系统应急处理服务</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提供</w:t>
                  </w:r>
                  <w:r>
                    <w:rPr>
                      <w:rFonts w:ascii="仿宋_GB2312" w:hAnsi="仿宋_GB2312" w:cs="仿宋_GB2312" w:eastAsia="仿宋_GB2312"/>
                      <w:sz w:val="24"/>
                    </w:rPr>
                    <w:t>7*24小时的应急处理服务，配合采购人需要的各类应急事件处理，包括系统发生故障的应急处理、紧急数据核验的应急处理、因为其他相关系统故障而所必须配合的应急服务等；在远程无法提供有效应急配合的情况下，须提供1小时以内的现场应急配合；</w:t>
                  </w:r>
                </w:p>
              </w:tc>
            </w:tr>
          </w:tbl>
          <w:p>
            <w:pPr>
              <w:pStyle w:val="null3"/>
              <w:jc w:val="both"/>
            </w:pPr>
            <w:r>
              <w:rPr>
                <w:rFonts w:ascii="仿宋_GB2312" w:hAnsi="仿宋_GB2312" w:cs="仿宋_GB2312" w:eastAsia="仿宋_GB2312"/>
                <w:sz w:val="24"/>
                <w:b/>
              </w:rPr>
              <w:t>三、服务标准</w:t>
            </w:r>
            <w:r>
              <w:rPr>
                <w:rFonts w:ascii="仿宋_GB2312" w:hAnsi="仿宋_GB2312" w:cs="仿宋_GB2312" w:eastAsia="仿宋_GB2312"/>
                <w:sz w:val="24"/>
              </w:rPr>
              <w:t>：符合国家及行业有关现行规范、标准的要求。</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2026年10月20日至2027年10月19日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进度款，合同签订，本年度服务启动，即2026年10月20日后，供应商提供发票，达到付款条件起30个工作日内，支付合同总金额的40.0%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进度款，维护服务半年后乙方将半年运维报告提交至甲方后，供应商提供发票，达到付款条件起30个工作日内，支付合同总金额的40.0%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进度款，项目完成后，乙方将全年运维报告提交至甲方，经甲方对服务质量进行考评后，供应商提供发票，达到付款条件起30个工作日内，支付合同总金额的20.0%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参照《财政部关于进一步加强政府采购需求和履约验收管理的指导意见》(财库(2016) 205号），经采购人组织验收。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（1）服务范围：社会化渠道销售管理系统维护服务；（2）服务要求：满足采购需求及采购文件要求 ；（3）服务标准：符合国家及行业有关现行规范、标准的要求。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4资质证明文件（参考格式）.docx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4资质证明文件（参考格式）.docx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提供2024或2025年度的财务审计报告或开标前六个月内其基本存款账户开户银行出具的资信证明（附开户许可证或开户备案证明或基本账户信息）；</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提供2025年7月至今已缴存的至少一个月的纳税证明或完税证明，依法免税的单位应提供相关证明材料；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供应商应授权合法的人员参加单一来源采购全过程，其中法定代表人直接参加单一来源采购的，须出具法定代表人身份证，并与营业执照上信息一致。法定代表人授权代表参加投标的，须出具法定代表人授权书及授权代表身份证。（其他组织或自然人参照执行）</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在“信用中国”网站（www.creditchina.gov.cn)和“中国政府采购网”（ccgp.gov.cn）对响应单位信用信息进行查询，如果响应单位被查实在开标前已列入失信被执行人、重大税收违法失信主体、政府采购严重违法失信行为记录名单，其响应为无效；（以开标当天代理公司核查为准）</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协商保证金</w:t>
            </w:r>
          </w:p>
        </w:tc>
        <w:tc>
          <w:tcPr>
            <w:tcW w:type="dxa" w:w="3322"/>
          </w:tcPr>
          <w:p>
            <w:pPr>
              <w:pStyle w:val="null3"/>
            </w:pPr>
            <w:r>
              <w:rPr>
                <w:rFonts w:ascii="仿宋_GB2312" w:hAnsi="仿宋_GB2312" w:cs="仿宋_GB2312" w:eastAsia="仿宋_GB2312"/>
              </w:rPr>
              <w:t>单一来源采购保证金缴纳凭证或担保机构出具的保函（供应商若提交保函，应于响应文件递交截止时间前将保函扫描件发送至代理机构邮箱）；</w:t>
            </w:r>
          </w:p>
        </w:tc>
        <w:tc>
          <w:tcPr>
            <w:tcW w:type="dxa" w:w="1661"/>
          </w:tcPr>
          <w:p>
            <w:pPr>
              <w:pStyle w:val="null3"/>
            </w:pPr>
            <w:r>
              <w:rPr>
                <w:rFonts w:ascii="仿宋_GB2312" w:hAnsi="仿宋_GB2312" w:cs="仿宋_GB2312" w:eastAsia="仿宋_GB2312"/>
              </w:rPr>
              <w:t>4资质证明文件（参考格式）.docx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本采购包专⻔⾯向中⼩企业采购</w:t>
            </w:r>
          </w:p>
        </w:tc>
        <w:tc>
          <w:tcPr>
            <w:tcW w:type="dxa" w:w="3322"/>
          </w:tcPr>
          <w:p>
            <w:pPr>
              <w:pStyle w:val="null3"/>
            </w:pPr>
            <w:r>
              <w:rPr>
                <w:rFonts w:ascii="仿宋_GB2312" w:hAnsi="仿宋_GB2312" w:cs="仿宋_GB2312" w:eastAsia="仿宋_GB2312"/>
              </w:rPr>
              <w:t>参与的供应商（联合体）服务全部由符合政策 要求的中⼩企业承接。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协商内容未出现漏项或数量与要求不符，未出现重大负偏差；</w:t>
            </w:r>
          </w:p>
        </w:tc>
        <w:tc>
          <w:tcPr>
            <w:tcW w:type="dxa" w:w="1661"/>
          </w:tcPr>
          <w:p>
            <w:pPr>
              <w:pStyle w:val="null3"/>
            </w:pPr>
            <w:r>
              <w:rPr>
                <w:rFonts w:ascii="仿宋_GB2312" w:hAnsi="仿宋_GB2312" w:cs="仿宋_GB2312" w:eastAsia="仿宋_GB2312"/>
              </w:rPr>
              <w:t>3商务响应表.docx 2服务要求响应表.docx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 问题的通知》（财库〔2026〕2号）出现下列 情形之⼀的，评审委员会应当启动异常低价投 标（响应）审查程序： 1.投标（响应）报价低 于全部通过符合性审查供应商投标（响应）报 价平均值50%的，即投标（响应）报价&lt;全部 通过符合性审查供应商投标（响应）报价平均 值×50%； 2.投标（响应）报价低于通过符合 性审查的次低报价供应商投标（响应）报价50 %的，即投标（响应）报价&lt;通过符合性审查的 次低报价供应商投标（响应）报价×50%； 3. 投标（响应）报价低于采购项⽬最⾼限价45% 的，即投标（响应）报价&lt;采购项⽬最⾼限价× 45%； 4.评审委员会基于专业判断，认为供应 商报价过低，有可能影响产品质量或者不能诚 信履约的其他情形。 相关法律法规对供应商报 价有规定的，从其规定。 评审委员会启动异常 低价投标（响应）审查后，属于前述第1项⾄第 4项情形的，应当要求相关供应商在评审现场合 理的时间内对投标（响应）价格作出解释，提 供项⽬具体成本测算等与报价合理性相关的书 ⾯说明及必要的证明材料，包括但不限于原材 料成本、⼈⼯成本、制造费⽤等，给予相关供 应商的合理时间⼀般不少于30分钟。其中，属 于第3项情形，供应商已随投标（响应）⽂件⼀ 并提交相关书⾯说明及必要的证明材料的，在 评审现场可不再重复提交。 评审委员会依据专 业经验，参考同类项⽬中标（成交）价格、类 似产品市场价格⽔平、⾏业⼈⼯费⽤标准、国 家有关部⻔指导⾏业协会发布的⾏业平均成本 等情况，对报价合理性进⾏判断。投标（响应 ）供应商不能提供书⾯说明、证明材料，或者 提供的书⾯说明、证明材料不能证明其报价合 理性的，评审委员会应当将其作为⽆效投标（ 响应）处理。</w:t>
            </w:r>
          </w:p>
        </w:tc>
        <w:tc>
          <w:tcPr>
            <w:tcW w:type="dxa" w:w="1661"/>
          </w:tcPr>
          <w:p>
            <w:pPr>
              <w:pStyle w:val="null3"/>
            </w:pPr>
            <w:r>
              <w:rPr>
                <w:rFonts w:ascii="仿宋_GB2312" w:hAnsi="仿宋_GB2312" w:cs="仿宋_GB2312" w:eastAsia="仿宋_GB2312"/>
              </w:rPr>
              <w:t>1分项报价表.docx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完全理解并接受法律法规和单⼀来源采购⽂件 对供应商合法经营的各类规约和责任义务要求 ，未出现法律、法规或单⼀来源采购⽂件规定 的其他⽆效情形的。</w:t>
            </w:r>
          </w:p>
        </w:tc>
        <w:tc>
          <w:tcPr>
            <w:tcW w:type="dxa" w:w="1661"/>
          </w:tcPr>
          <w:p>
            <w:pPr>
              <w:pStyle w:val="null3"/>
            </w:pPr>
            <w:r>
              <w:rPr>
                <w:rFonts w:ascii="仿宋_GB2312" w:hAnsi="仿宋_GB2312" w:cs="仿宋_GB2312" w:eastAsia="仿宋_GB2312"/>
              </w:rPr>
              <w:t>1分项报价表.docx 中小企业声明函 4资质证明文件（参考格式）.docx 报价表 3商务响应表.docx 响应文件封面 6供应商拒绝政府采购领域商业贿赂承诺书.docx 残疾人福利性单位声明函 标的清单 5服务方案.docx 响应函 2服务要求响应表.docx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响应⽂件的签署、加盖公章有效；</w:t>
            </w:r>
          </w:p>
        </w:tc>
        <w:tc>
          <w:tcPr>
            <w:tcW w:type="dxa" w:w="1661"/>
          </w:tcPr>
          <w:p>
            <w:pPr>
              <w:pStyle w:val="null3"/>
            </w:pPr>
            <w:r>
              <w:rPr>
                <w:rFonts w:ascii="仿宋_GB2312" w:hAnsi="仿宋_GB2312" w:cs="仿宋_GB2312" w:eastAsia="仿宋_GB2312"/>
              </w:rPr>
              <w:t>响应文件封面 1分项报价表.docx 6供应商拒绝政府采购领域商业贿赂承诺书.docx 4资质证明文件（参考格式）.docx 标的清单 报价表 响应函 3商务响应表.docx 2服务要求响应表.docx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响应⽂件按有效期达到单⼀来源采购⽂件的要求；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单⼀来源采购⽂件报价</w:t>
            </w:r>
          </w:p>
        </w:tc>
        <w:tc>
          <w:tcPr>
            <w:tcW w:type="dxa" w:w="3322"/>
          </w:tcPr>
          <w:p>
            <w:pPr>
              <w:pStyle w:val="null3"/>
            </w:pPr>
            <w:r>
              <w:rPr>
                <w:rFonts w:ascii="仿宋_GB2312" w:hAnsi="仿宋_GB2312" w:cs="仿宋_GB2312" w:eastAsia="仿宋_GB2312"/>
              </w:rPr>
              <w:t>报价未超过单⼀来源采购⽂件中规定的最⾼限价的</w:t>
            </w:r>
          </w:p>
        </w:tc>
        <w:tc>
          <w:tcPr>
            <w:tcW w:type="dxa" w:w="1661"/>
          </w:tcPr>
          <w:p>
            <w:pPr>
              <w:pStyle w:val="null3"/>
            </w:pPr>
            <w:r>
              <w:rPr>
                <w:rFonts w:ascii="仿宋_GB2312" w:hAnsi="仿宋_GB2312" w:cs="仿宋_GB2312" w:eastAsia="仿宋_GB2312"/>
              </w:rPr>
              <w:t>1分项报价表.docx 标的清单 报价表</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详见附件：2服务要求响应表.docx</w:t>
      </w:r>
    </w:p>
    <w:p>
      <w:pPr>
        <w:pStyle w:val="null3"/>
        <w:ind w:firstLine="960"/>
      </w:pPr>
      <w:r>
        <w:rPr>
          <w:rFonts w:ascii="仿宋_GB2312" w:hAnsi="仿宋_GB2312" w:cs="仿宋_GB2312" w:eastAsia="仿宋_GB2312"/>
        </w:rPr>
        <w:t>详见附件：3商务响应表.docx</w:t>
      </w:r>
    </w:p>
    <w:p>
      <w:pPr>
        <w:pStyle w:val="null3"/>
        <w:ind w:firstLine="960"/>
      </w:pPr>
      <w:r>
        <w:rPr>
          <w:rFonts w:ascii="仿宋_GB2312" w:hAnsi="仿宋_GB2312" w:cs="仿宋_GB2312" w:eastAsia="仿宋_GB2312"/>
        </w:rPr>
        <w:t>详见附件：4资质证明文件（参考格式）.docx</w:t>
      </w:r>
    </w:p>
    <w:p>
      <w:pPr>
        <w:pStyle w:val="null3"/>
        <w:ind w:firstLine="960"/>
      </w:pPr>
      <w:r>
        <w:rPr>
          <w:rFonts w:ascii="仿宋_GB2312" w:hAnsi="仿宋_GB2312" w:cs="仿宋_GB2312" w:eastAsia="仿宋_GB2312"/>
        </w:rPr>
        <w:t>详见附件：5服务方案.docx</w:t>
      </w:r>
    </w:p>
    <w:p>
      <w:pPr>
        <w:pStyle w:val="null3"/>
        <w:ind w:firstLine="960"/>
      </w:pPr>
      <w:r>
        <w:rPr>
          <w:rFonts w:ascii="仿宋_GB2312" w:hAnsi="仿宋_GB2312" w:cs="仿宋_GB2312" w:eastAsia="仿宋_GB2312"/>
        </w:rPr>
        <w:t>详见附件：6供应商拒绝政府采购领域商业贿赂承诺书.docx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