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版本号：ZHPM-ZC-2604520260826001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2026年西安市土地市场分析项目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ZHPM-ZC-26045</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2026年西安市土地市场分析项目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2026年西安市土地市场分析项目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土地市场分析项目，工作内容：1）按工作要求对西安市全域（市本级、开发区、远郊区县及西咸新区）土地供应数据，按区域、用途、供应方式等，分析全市土地供应总量、布局、结构、节奏、价格等变化情况和趋势，形成月度、季度和年度数据报表；2）结合住宅、商业、工业和公服设施等各类建设用地运行情况、供地政策、商品房市场运行情况等，按照月度编制《西安市土地市场运行情况简报》《西安市土地市场分析报告》等成果；3）实时监测土地市场波动，结合调控政策、经济环境、房地产市场变化等，及时调研、分析对标城市，形成土地供应量价走势、房地关系等专题分析成果，并编制专题分析报告；4）监测副省级城市等重点城市土地招拍挂市场成交数据，形成副省级城市各类用地招拍挂出让面积和价款对比表，与西安进行横向对比，准确掌握西安市土地市场运行情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采购包1（2026年西安市土地市场分析项目）：属于专门面向中小企业采购。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需提供法定代表人身份证明（含法人身份证复印件），法定代表人委托代理人参加投标的，需提供法定代表人授权委托书（含法定代表人及代理人身份证复印件）；供应商需在项目电子化交易系统中按要求上传相应证明文件并进行电子签章。</w:t>
      </w:r>
    </w:p>
    <w:p>
      <w:pPr>
        <w:pStyle w:val="null3"/>
      </w:pPr>
      <w:r>
        <w:rPr>
          <w:rFonts w:ascii="仿宋_GB2312" w:hAnsi="仿宋_GB2312" w:cs="仿宋_GB2312" w:eastAsia="仿宋_GB2312"/>
        </w:rPr>
        <w:t>2、供应商资质：供应商须在省级自然资源主管部门进行土地估价机构备案（须提供相关证明材料）。</w:t>
      </w:r>
    </w:p>
    <w:p>
      <w:pPr>
        <w:pStyle w:val="null3"/>
      </w:pPr>
      <w:r>
        <w:rPr>
          <w:rFonts w:ascii="仿宋_GB2312" w:hAnsi="仿宋_GB2312" w:cs="仿宋_GB2312" w:eastAsia="仿宋_GB2312"/>
        </w:rPr>
        <w:t>3、本项目不允许联合体投标：本项目不允许联合体投标。供应商需在项目电子化交易系统中按要求上传相应证明文件并进行电子签章。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西安市⾼新区团结南路35号⾼新新天地2号楼2402室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采购包1：1,303,600.00元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办法的通知》（计价格〔2002〕1980号）、国家发改委办公厅《关于招标代理服务收费有关问题的通知》（发改办价格〔2003〕857号）、《国家发展改⾰委关于降低部分建设项⽬收费标准规范收费⾏为等有关问题的通知》发改价格〔2011〕534号⽂件的规定服务类标准收取。 2、代理服务费由中标(成交)供应商⽀付，在《中标/成交通知书》发出前，由中标(成交)供应商⼀次性⽀付。 3、代理服务费银⾏及账号： 银⾏⼾名：中昊项⽬管理有限公司 开⼾银⾏：中国⺠⽣银⾏股份有限公司西安⾼新科技⽀⾏ 账号：160927203 备注：供应商在汇款时须注明项 ⽬编号+项⽬简称+代理服务费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乙方应保证其提供的服务及服务成果的全部，均不存在侵犯第三方知识产权的情形，如果因此引发赔偿等法律责任，由乙方负责解决并承担一切赔偿等法律责任。 乙方提交甲方的全部服务成果的所有权及相关知识产权由甲方单独所有，乙方无权向任何第三方披露或提供，否则，乙方应按本合同总金额的30%向甲方支付违约金，并赔偿由此给甲方造成的名誉及经济损失。 软件及其技术文档等成果的所有权由双方享有；未经甲方许可，乙方不得提供给第三方，否则，乙方应按本合同总金额的30%向甲方支付违约金，并赔偿由此给甲方造成的名誉及经济损失。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部署开展2007年度土地使用和土地市场动态监测示范工作的通知》（国土资厅发〔2007〕122号）、《自然资源开发利用司关于加强土地市场动态监测分析有关要求的通知》（自然资利用函〔2019〕173号）等相关技术要求及项目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联系人：李馨</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地址：西安市⾼新区团结南路35号⾼新新天地2号楼2402室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土地市场分析项目，工作内容：1）按工作要求对西安市全域（市本级、开发区、远郊区县及西咸新区）土地供应数据，按区域、用途、供应方式等，分析全市土地供应总量、布局、结构、节奏、价格等变化情况和趋势，形成月度、季度和年度数据报表；2）结合住宅、商业、工业和公服设施等各类建设用地运行情况、供地政策、商品房市场运行情况等，按照月度编制《西安市土地市场运行情况简报》《西安市土地市场分析报告》等成果；3）实时监测土地市场波动，结合调控政策、经济环境、房地产市场变化等，及时调研、分析对标城市，形成土地供应量价走势、房地关系等专题分析成果，并编制专题分析报告；4）监测副省级城市等重点城市土地招拍挂市场成交数据，形成副省级城市各类用地招拍挂出让面积和价款对比表，与西安进行横向对比，准确掌握西安市土地市场运行情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1,303,600.00</w:t>
      </w:r>
    </w:p>
    <w:p>
      <w:pPr>
        <w:pStyle w:val="null3"/>
      </w:pPr>
      <w:r>
        <w:rPr>
          <w:rFonts w:ascii="仿宋_GB2312" w:hAnsi="仿宋_GB2312" w:cs="仿宋_GB2312" w:eastAsia="仿宋_GB2312"/>
        </w:rPr>
        <w:t>采购包最高限价（元）: 1,303,600.00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2026年西安市土地市场分析项目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标的名称：2026年西安市土地市场分析项目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0"/>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spacing w:after="165"/>
              <w:ind w:firstLine="536"/>
              <w:jc w:val="both"/>
            </w:pPr>
            <w:r>
              <w:rPr>
                <w:rFonts w:ascii="仿宋_GB2312" w:hAnsi="仿宋_GB2312" w:cs="仿宋_GB2312" w:eastAsia="仿宋_GB2312"/>
                <w:sz w:val="24"/>
              </w:rPr>
              <w:t>通过统计分析西安市土地供应数据，结合年度供应计划，形成数据报表和土地市场分析报告等材料，为我市土地供应管理提供常态化基础服务。实时监测市场波动，根据调控政策、经济环境、房地产市场变化等，起草专题分析报告。开展</w:t>
            </w:r>
            <w:r>
              <w:rPr>
                <w:rFonts w:ascii="仿宋_GB2312" w:hAnsi="仿宋_GB2312" w:cs="仿宋_GB2312" w:eastAsia="仿宋_GB2312"/>
                <w:sz w:val="24"/>
              </w:rPr>
              <w:t>15个副省级城市等重点城市土地招拍挂市场数据监测，与西安进行横向对比分析，为我市土地市场调控及决策提供有力支撑。</w:t>
            </w:r>
          </w:p>
          <w:p>
            <w:pPr>
              <w:pStyle w:val="null3"/>
              <w:ind w:firstLine="500"/>
            </w:pPr>
            <w:r>
              <w:rPr>
                <w:rFonts w:ascii="仿宋_GB2312" w:hAnsi="仿宋_GB2312" w:cs="仿宋_GB2312" w:eastAsia="仿宋_GB2312"/>
                <w:sz w:val="24"/>
              </w:rPr>
              <w:t>二、服务内容</w:t>
            </w:r>
          </w:p>
          <w:p>
            <w:pPr>
              <w:pStyle w:val="null3"/>
              <w:ind w:firstLine="482"/>
            </w:pPr>
            <w:r>
              <w:rPr>
                <w:rFonts w:ascii="仿宋_GB2312" w:hAnsi="仿宋_GB2312" w:cs="仿宋_GB2312" w:eastAsia="仿宋_GB2312"/>
                <w:sz w:val="24"/>
              </w:rPr>
              <w:t>（</w:t>
            </w:r>
            <w:r>
              <w:rPr>
                <w:rFonts w:ascii="仿宋_GB2312" w:hAnsi="仿宋_GB2312" w:cs="仿宋_GB2312" w:eastAsia="仿宋_GB2312"/>
                <w:sz w:val="24"/>
              </w:rPr>
              <w:t>1）按工作要求对西安市全域（市本级、开发区、远郊区县及西咸新区）土地供应数据，按区域、用途、供应方式等，分析全市土地供应总量、布局、结构、节奏、价格等变化情况和趋势，形成月度、季度和年度数据报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2）结合住宅、商业、工业和公服设施等各类建设用地运行情况、供地政策、商品房市场运行情况等，按照月度编制《西安市土地市场运行情况简报》《西安市土地市场分析报告》等成果。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3）实时监测土地市场波动，结合调控政策、经济环境、房地产市场变化等，及时调研、分析对标城市，形成土地供应量价走势、房地关系等专题分析成果，并编制专题分析报告。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4）监测副省级城市等重点城市土地招拍挂市场成交数据，</w:t>
            </w:r>
            <w:r>
              <w:rPr>
                <w:rFonts w:ascii="仿宋_GB2312" w:hAnsi="仿宋_GB2312" w:cs="仿宋_GB2312" w:eastAsia="仿宋_GB2312"/>
                <w:sz w:val="24"/>
              </w:rPr>
              <w:t>形成副省级城市各类用地招拍挂出让面积和价款对比表，</w:t>
            </w:r>
            <w:r>
              <w:rPr>
                <w:rFonts w:ascii="仿宋_GB2312" w:hAnsi="仿宋_GB2312" w:cs="仿宋_GB2312" w:eastAsia="仿宋_GB2312"/>
                <w:sz w:val="24"/>
              </w:rPr>
              <w:t>与西安进行横向对比，准确掌握西安市土地市场运行情况。</w:t>
            </w:r>
          </w:p>
          <w:p>
            <w:pPr>
              <w:pStyle w:val="null3"/>
              <w:ind w:firstLine="480"/>
              <w:jc w:val="left"/>
            </w:pPr>
            <w:r>
              <w:rPr>
                <w:rFonts w:ascii="仿宋_GB2312" w:hAnsi="仿宋_GB2312" w:cs="仿宋_GB2312" w:eastAsia="仿宋_GB2312"/>
                <w:sz w:val="24"/>
              </w:rPr>
              <w:t>三</w:t>
            </w:r>
            <w:r>
              <w:rPr>
                <w:rFonts w:ascii="仿宋_GB2312" w:hAnsi="仿宋_GB2312" w:cs="仿宋_GB2312" w:eastAsia="仿宋_GB2312"/>
                <w:sz w:val="24"/>
              </w:rPr>
              <w:t>、技术要求</w:t>
            </w:r>
          </w:p>
          <w:p>
            <w:pPr>
              <w:pStyle w:val="null3"/>
              <w:spacing w:after="165"/>
              <w:ind w:firstLine="536"/>
              <w:jc w:val="both"/>
            </w:pPr>
            <w:r>
              <w:rPr>
                <w:rFonts w:ascii="仿宋_GB2312" w:hAnsi="仿宋_GB2312" w:cs="仿宋_GB2312" w:eastAsia="仿宋_GB2312"/>
                <w:sz w:val="24"/>
              </w:rPr>
              <w:t>按照《关于部署开展</w:t>
            </w:r>
            <w:r>
              <w:rPr>
                <w:rFonts w:ascii="仿宋_GB2312" w:hAnsi="仿宋_GB2312" w:cs="仿宋_GB2312" w:eastAsia="仿宋_GB2312"/>
                <w:sz w:val="24"/>
              </w:rPr>
              <w:t>2007年度土地使用和土地市场动态监测示范工作的通知》（国土资厅发〔2007〕122号）、《自然资源开发利用司关于加强土地市场动态监测分析有关要求的通知》（自然资利用函〔2019〕173号）等相关技术要求开展工作。</w:t>
            </w:r>
          </w:p>
          <w:p>
            <w:pPr>
              <w:pStyle w:val="null3"/>
              <w:ind w:firstLine="480"/>
              <w:jc w:val="left"/>
            </w:pPr>
            <w:r>
              <w:rPr>
                <w:rFonts w:ascii="仿宋_GB2312" w:hAnsi="仿宋_GB2312" w:cs="仿宋_GB2312" w:eastAsia="仿宋_GB2312"/>
                <w:sz w:val="24"/>
              </w:rPr>
              <w:t>四、服务要求</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1）熟悉国家自然资源领域相关政策和西安市土地市场情况。</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2）具有土地供应监测分析经验以及土地市场与房地产、宏观经济、相关政策关联分析能力。</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3）保证技术服务成果科学、合理、准确，项目成果符合审查审批要求。</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4）服务商在合同执行期间，能够独立承担市场调研、监测统计、专题分析等项目工作。</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商务要求</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服务期限</w:t>
            </w:r>
          </w:p>
          <w:p>
            <w:pPr>
              <w:pStyle w:val="null3"/>
              <w:spacing w:after="165"/>
              <w:ind w:firstLine="536"/>
              <w:jc w:val="both"/>
            </w:pPr>
            <w:r>
              <w:rPr>
                <w:rFonts w:ascii="仿宋_GB2312" w:hAnsi="仿宋_GB2312" w:cs="仿宋_GB2312" w:eastAsia="仿宋_GB2312"/>
                <w:sz w:val="24"/>
              </w:rPr>
              <w:t>服务期限：项目服务期为一年，自</w:t>
            </w:r>
            <w:r>
              <w:rPr>
                <w:rFonts w:ascii="仿宋_GB2312" w:hAnsi="仿宋_GB2312" w:cs="仿宋_GB2312" w:eastAsia="仿宋_GB2312"/>
                <w:sz w:val="24"/>
              </w:rPr>
              <w:t>2026年11月至2027年10月，具体以合同为准。</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款项结算</w:t>
            </w:r>
          </w:p>
          <w:p>
            <w:pPr>
              <w:pStyle w:val="null3"/>
              <w:ind w:firstLine="500"/>
              <w:jc w:val="left"/>
            </w:pPr>
            <w:r>
              <w:rPr>
                <w:rFonts w:ascii="仿宋_GB2312" w:hAnsi="仿宋_GB2312" w:cs="仿宋_GB2312" w:eastAsia="仿宋_GB2312"/>
                <w:sz w:val="24"/>
              </w:rPr>
              <w:t>合同签订后</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0个工作日内</w:t>
            </w:r>
            <w:r>
              <w:rPr>
                <w:rFonts w:ascii="仿宋_GB2312" w:hAnsi="仿宋_GB2312" w:cs="仿宋_GB2312" w:eastAsia="仿宋_GB2312"/>
                <w:sz w:val="24"/>
              </w:rPr>
              <w:t>支付合同总额</w:t>
            </w:r>
            <w:r>
              <w:rPr>
                <w:rFonts w:ascii="仿宋_GB2312" w:hAnsi="仿宋_GB2312" w:cs="仿宋_GB2312" w:eastAsia="仿宋_GB2312"/>
                <w:sz w:val="24"/>
              </w:rPr>
              <w:t>40%；项目服务周期过半时</w:t>
            </w:r>
            <w:r>
              <w:rPr>
                <w:rFonts w:ascii="仿宋_GB2312" w:hAnsi="仿宋_GB2312" w:cs="仿宋_GB2312" w:eastAsia="仿宋_GB2312"/>
                <w:sz w:val="24"/>
              </w:rPr>
              <w:t>，</w:t>
            </w:r>
            <w:r>
              <w:rPr>
                <w:rFonts w:ascii="仿宋_GB2312" w:hAnsi="仿宋_GB2312" w:cs="仿宋_GB2312" w:eastAsia="仿宋_GB2312"/>
                <w:sz w:val="24"/>
              </w:rPr>
              <w:t>达到付款条件起</w:t>
            </w:r>
            <w:r>
              <w:rPr>
                <w:rFonts w:ascii="仿宋_GB2312" w:hAnsi="仿宋_GB2312" w:cs="仿宋_GB2312" w:eastAsia="仿宋_GB2312"/>
                <w:sz w:val="24"/>
              </w:rPr>
              <w:t>1</w:t>
            </w:r>
            <w:r>
              <w:rPr>
                <w:rFonts w:ascii="仿宋_GB2312" w:hAnsi="仿宋_GB2312" w:cs="仿宋_GB2312" w:eastAsia="仿宋_GB2312"/>
                <w:sz w:val="24"/>
              </w:rPr>
              <w:t>0个工作日内支付合同总额40%；项目成果通过验收后，达到付款条件起</w:t>
            </w:r>
            <w:r>
              <w:rPr>
                <w:rFonts w:ascii="仿宋_GB2312" w:hAnsi="仿宋_GB2312" w:cs="仿宋_GB2312" w:eastAsia="仿宋_GB2312"/>
                <w:sz w:val="24"/>
              </w:rPr>
              <w:t>1</w:t>
            </w:r>
            <w:r>
              <w:rPr>
                <w:rFonts w:ascii="仿宋_GB2312" w:hAnsi="仿宋_GB2312" w:cs="仿宋_GB2312" w:eastAsia="仿宋_GB2312"/>
                <w:sz w:val="24"/>
              </w:rPr>
              <w:t>0个工作日内支付剩余20%。</w:t>
            </w:r>
          </w:p>
          <w:p>
            <w:pPr>
              <w:pStyle w:val="null3"/>
              <w:ind w:firstLine="500"/>
              <w:jc w:val="left"/>
            </w:pPr>
            <w:r>
              <w:rPr>
                <w:rFonts w:ascii="仿宋_GB2312" w:hAnsi="仿宋_GB2312" w:cs="仿宋_GB2312" w:eastAsia="仿宋_GB2312"/>
                <w:sz w:val="24"/>
              </w:rPr>
              <w:t>六、其他</w:t>
            </w:r>
          </w:p>
          <w:p>
            <w:pPr>
              <w:pStyle w:val="null3"/>
              <w:spacing w:after="165"/>
              <w:ind w:firstLine="536"/>
              <w:jc w:val="both"/>
            </w:pPr>
            <w:r>
              <w:rPr>
                <w:rFonts w:ascii="仿宋_GB2312" w:hAnsi="仿宋_GB2312" w:cs="仿宋_GB2312" w:eastAsia="仿宋_GB2312"/>
                <w:sz w:val="24"/>
              </w:rPr>
              <w:t>（</w:t>
            </w:r>
            <w:r>
              <w:rPr>
                <w:rFonts w:ascii="仿宋_GB2312" w:hAnsi="仿宋_GB2312" w:cs="仿宋_GB2312" w:eastAsia="仿宋_GB2312"/>
                <w:sz w:val="24"/>
              </w:rPr>
              <w:t>1）质量验收标准：按照《关于部署开展2007年度土地使用和土地市场动态监测示范工作的通知》（国土资厅发〔2007〕122号）、《自然资源开发利用司关于加强土地市场动态监测分析有关要求的通知》（自然资利用函〔2019〕173号）等相关技术要求及项目合同进行验收。</w:t>
            </w:r>
          </w:p>
          <w:p>
            <w:pPr>
              <w:pStyle w:val="null3"/>
            </w:pPr>
            <w:r>
              <w:rPr>
                <w:rFonts w:ascii="仿宋_GB2312" w:hAnsi="仿宋_GB2312" w:cs="仿宋_GB2312" w:eastAsia="仿宋_GB2312"/>
                <w:sz w:val="24"/>
              </w:rPr>
              <w:t>（</w:t>
            </w:r>
            <w:r>
              <w:rPr>
                <w:rFonts w:ascii="仿宋_GB2312" w:hAnsi="仿宋_GB2312" w:cs="仿宋_GB2312" w:eastAsia="仿宋_GB2312"/>
                <w:sz w:val="24"/>
              </w:rPr>
              <w:t>2）违约责任：一是若供应商未能在双方约定的时间内出具相关成果，应在逾期后5个自然日内完成，同时承担因此而造成的违约金，逾期超过10天的，采购人有权解除合同，供应商还应承担因延期造成的损失。二是供应商对涉及密级业务的技术资料、数据、保密信息等进行严格保密，一旦泄密，需承担相应法律责任。三是供应商未按要求履行义务，且经采购人要求仍拒不改正的，应按合同总价款的百分之二十向采购人支付违约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具有履⾏本项⽬所必需的专业设备和技术能⼒。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符合国家、省、市相关⽂件及⾏业技术标准要求。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项目服务期为一年，自2026年11月至2027年10月，具体以合同为准。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部署开展2007年度土地使用和土地市场动态监测示范工作的通知》（国土资厅发〔2007〕122号）、《自然资源开发利用司关于加强土地市场动态监测分析有关要求的通知》（自然资利用函〔2019〕173号）等相关技术要求及项目合同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进度款，项目服务周期过半时，达到付款条件起10个工作日内，支付合同总金额的40.0%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进度款，项目成果通过验收后，达到付款条件起10个工作日内，支付合同总金额的20.0%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是若供应商未能在双方约定的时间内出具相关成果，应在逾期后5个自然日内完成，同时承担因此而造成的违约金，逾期超过10天的，采购人有权解除合同，供应商还应承担因延期造成的损失。二是供应商对涉及密级业务的技术资料、数据、保密信息等进行严格保密，一旦泄密，需承担相应法律责任。三是供应商未按要求履行义务，且经采购人要求仍拒不改正的，应按合同总价款的百分之二十向采购人支付违约金。 双方发生合同争议时，应友好协商解决，不能达成协议时，及时向有关部门要求调解、仲裁或诉讼，发生索赔按现行法律、法规和合同执行。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2025年度财务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需提供法定代表人身份证明（含法人身份证复印件），法定代表人委托代理人参加投标的，需提供法定代表人授权委托书（含法定代表人及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供应商须在省级自然资源主管部门进行土地估价机构备案（须提供相关证明材料）。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本项目不允许联合体投标</w:t>
            </w:r>
          </w:p>
        </w:tc>
        <w:tc>
          <w:tcPr>
            <w:tcW w:type="dxa" w:w="3322"/>
          </w:tcPr>
          <w:p>
            <w:pPr>
              <w:pStyle w:val="null3"/>
            </w:pPr>
            <w:r>
              <w:rPr>
                <w:rFonts w:ascii="仿宋_GB2312" w:hAnsi="仿宋_GB2312" w:cs="仿宋_GB2312" w:eastAsia="仿宋_GB2312"/>
              </w:rPr>
              <w:t>本项目不允许联合体投标。供应商需在项目电子化交易系统中按要求上传相应证明文件并进行电子签章。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响应⽂件上法定代表⼈或被授权⼈的签字、盖章⻬全</w:t>
            </w:r>
          </w:p>
        </w:tc>
        <w:tc>
          <w:tcPr>
            <w:tcW w:type="dxa" w:w="1661"/>
          </w:tcPr>
          <w:p>
            <w:pPr>
              <w:pStyle w:val="null3"/>
            </w:pPr>
            <w:r>
              <w:rPr>
                <w:rFonts w:ascii="仿宋_GB2312" w:hAnsi="仿宋_GB2312" w:cs="仿宋_GB2312" w:eastAsia="仿宋_GB2312"/>
              </w:rPr>
              <w:t>响应文件封面 商务应答表 响应函 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响应⽂件格式、语⾔、计量单位、报价货币</w:t>
            </w:r>
          </w:p>
        </w:tc>
        <w:tc>
          <w:tcPr>
            <w:tcW w:type="dxa" w:w="3322"/>
          </w:tcPr>
          <w:p>
            <w:pPr>
              <w:pStyle w:val="null3"/>
            </w:pPr>
            <w:r>
              <w:rPr>
                <w:rFonts w:ascii="仿宋_GB2312" w:hAnsi="仿宋_GB2312" w:cs="仿宋_GB2312" w:eastAsia="仿宋_GB2312"/>
              </w:rPr>
              <w:t>符合“响应⽂件格式”和磋商⽂件要求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响应⽂件内容⻬全、⽆遗漏</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满⾜磋商⽂件中的规定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满⾜磋商⽂件中的规定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满⾜磋商⽂件中的规定</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对项目理解和分析</w:t>
            </w:r>
          </w:p>
        </w:tc>
        <w:tc>
          <w:tcPr>
            <w:tcW w:type="dxa" w:w="2492"/>
          </w:tcPr>
          <w:p>
            <w:pPr>
              <w:pStyle w:val="null3"/>
            </w:pPr>
            <w:r>
              <w:rPr>
                <w:rFonts w:ascii="仿宋_GB2312" w:hAnsi="仿宋_GB2312" w:cs="仿宋_GB2312" w:eastAsia="仿宋_GB2312"/>
              </w:rPr>
              <w:t>评审内容包括：①项目理解②需求分析。每一项内容全面详细、阐述条理清晰得3分，满分6分，每项存在一处缺陷，扣0.5分，扣完为止。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①项目实施总体思路；②具体实施详细方案；③项目重点、难点分析；④针对项目重难点相应的解决方案。每一项内容全面详细、阐述条理清晰得4分，满分16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评审内容包括：①进度计划安排；②进度保障措施。每一项内容全面详细、阐述条理清晰得3分，满分6分，每项存在一处缺陷，扣0.5分，扣完为止。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针对采购内容提出适用于本项目的保障措施，包括：①质量保障措施；②项目保密措施。每一项内容全面详细、阐述条理清晰得3分，满分6分,每项存在一处缺陷，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针对采购内容提出适用于本项目的保障措施与售后服务方案，包括：①人员安排、②服务响应时间等。每一项内容全面详细、阐述条理清晰得3分，满分6分,每项存在一处缺陷，扣0.5分，扣完为止。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拟投入本项目的项目负责人具有相关专业资格证书（土地估价师）的得3分；具有经济类专业高级职称的得5分，具有经济类专业中级职称的得2分；本项最多得8分。 注：提供项目负责人近一年内任意一个月的社保缴纳证明、证书复印件加盖公章，未提供不得分。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本项目的服务团队人员（除项目负责人外），每提供1个土地估价师证书得1分，最高14分；每提供1个数据分析师证书得2分，最高8分；本项最多得22分。 注：①项目团队人员不可重复计分。 ②提供项目团队人员近一年内任意一个月的社保缴纳证明、身份证、毕业证、职称证、资格证等相关证书复印件加盖公章，未提供不得分。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供应商提供2023年8月1日至今承担过的类似项目业绩（以合同签订时间为准），每提供1项得4分，最高得分不超过20分。 注：提供中标（成交）通知书或合同扫描件加盖供应商公章，未提供不得分。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依据财库[2007]2号文，价格分统一采用低价优先法计算，即满足招标文件要求且投标价格最低的投标报价为评标基准价，其价格分为满分。其他投标人的价格分统一按照下列公式计算：投标报价得分=(评标基准价／投标报价)×10。计算分数时四舍五入取小数点后两位。 备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