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D5E632">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宋体" w:hAnsi="宋体" w:eastAsia="宋体" w:cs="宋体"/>
          <w:b/>
          <w:bCs/>
          <w:sz w:val="48"/>
          <w:szCs w:val="56"/>
          <w:highlight w:val="none"/>
          <w:lang w:eastAsia="zh-CN"/>
        </w:rPr>
      </w:pPr>
      <w:bookmarkStart w:id="52" w:name="_GoBack"/>
    </w:p>
    <w:p w14:paraId="507C6037">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宋体" w:hAnsi="宋体" w:eastAsia="宋体" w:cs="宋体"/>
          <w:b/>
          <w:bCs/>
          <w:sz w:val="48"/>
          <w:szCs w:val="56"/>
          <w:highlight w:val="none"/>
          <w:lang w:eastAsia="zh-CN"/>
        </w:rPr>
      </w:pPr>
    </w:p>
    <w:p w14:paraId="2A6BBEA8">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宋体" w:hAnsi="宋体" w:eastAsia="宋体" w:cs="宋体"/>
          <w:b/>
          <w:bCs/>
          <w:sz w:val="48"/>
          <w:szCs w:val="56"/>
          <w:highlight w:val="none"/>
          <w:lang w:eastAsia="zh-CN"/>
        </w:rPr>
      </w:pPr>
      <w:r>
        <w:rPr>
          <w:rFonts w:hint="eastAsia" w:ascii="宋体" w:hAnsi="宋体" w:eastAsia="宋体" w:cs="宋体"/>
          <w:b/>
          <w:bCs/>
          <w:sz w:val="48"/>
          <w:szCs w:val="56"/>
          <w:highlight w:val="none"/>
          <w:lang w:eastAsia="zh-CN"/>
        </w:rPr>
        <w:t>西安市统计局</w:t>
      </w:r>
    </w:p>
    <w:p w14:paraId="3209CF28">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宋体" w:hAnsi="宋体" w:eastAsia="宋体" w:cs="宋体"/>
          <w:b/>
          <w:bCs/>
          <w:sz w:val="48"/>
          <w:szCs w:val="56"/>
          <w:highlight w:val="none"/>
          <w:lang w:eastAsia="zh-CN"/>
        </w:rPr>
      </w:pPr>
      <w:r>
        <w:rPr>
          <w:rFonts w:hint="eastAsia" w:ascii="宋体" w:hAnsi="宋体" w:eastAsia="宋体" w:cs="宋体"/>
          <w:b/>
          <w:bCs/>
          <w:sz w:val="48"/>
          <w:szCs w:val="56"/>
          <w:highlight w:val="none"/>
          <w:lang w:eastAsia="zh-CN"/>
        </w:rPr>
        <w:t>1%人口抽样调查数据资料开发服务项目</w:t>
      </w:r>
    </w:p>
    <w:p w14:paraId="65AD1F61">
      <w:pPr>
        <w:pStyle w:val="6"/>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jc w:val="center"/>
        <w:textAlignment w:val="auto"/>
        <w:rPr>
          <w:rFonts w:hint="eastAsia" w:ascii="方正小标宋简体" w:hAnsi="方正小标宋简体" w:eastAsia="方正小标宋简体" w:cs="方正小标宋简体"/>
          <w:b w:val="0"/>
          <w:bCs/>
          <w:sz w:val="44"/>
          <w:szCs w:val="44"/>
          <w:highlight w:val="none"/>
          <w:lang w:val="en-US" w:eastAsia="zh-CN"/>
        </w:rPr>
      </w:pPr>
    </w:p>
    <w:p w14:paraId="17A468F6">
      <w:pPr>
        <w:spacing w:line="360" w:lineRule="auto"/>
        <w:rPr>
          <w:rFonts w:hint="eastAsia" w:ascii="宋体" w:hAnsi="宋体" w:eastAsia="宋体" w:cs="宋体"/>
          <w:b/>
          <w:bCs w:val="0"/>
          <w:sz w:val="36"/>
          <w:szCs w:val="36"/>
          <w:highlight w:val="none"/>
          <w:lang w:val="en-US" w:eastAsia="zh-CN"/>
        </w:rPr>
      </w:pPr>
    </w:p>
    <w:p w14:paraId="2B6F31E5">
      <w:pPr>
        <w:pStyle w:val="6"/>
        <w:rPr>
          <w:rFonts w:hint="eastAsia"/>
          <w:highlight w:val="none"/>
          <w:lang w:val="en-US" w:eastAsia="zh-CN"/>
        </w:rPr>
      </w:pPr>
    </w:p>
    <w:p w14:paraId="5D348EF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b/>
          <w:bCs/>
          <w:color w:val="000000"/>
          <w:sz w:val="72"/>
          <w:szCs w:val="72"/>
          <w:highlight w:val="none"/>
          <w:lang w:eastAsia="zh-CN"/>
        </w:rPr>
      </w:pPr>
      <w:r>
        <w:rPr>
          <w:rFonts w:hint="eastAsia" w:ascii="宋体" w:hAnsi="宋体"/>
          <w:b/>
          <w:bCs/>
          <w:color w:val="000000"/>
          <w:sz w:val="72"/>
          <w:szCs w:val="72"/>
          <w:highlight w:val="none"/>
          <w:lang w:eastAsia="zh-CN"/>
        </w:rPr>
        <w:t>服务</w:t>
      </w:r>
      <w:r>
        <w:rPr>
          <w:rFonts w:hint="eastAsia" w:ascii="宋体" w:hAnsi="宋体"/>
          <w:b/>
          <w:bCs/>
          <w:color w:val="000000"/>
          <w:sz w:val="72"/>
          <w:szCs w:val="72"/>
          <w:highlight w:val="none"/>
        </w:rPr>
        <w:t>合同</w:t>
      </w:r>
    </w:p>
    <w:p w14:paraId="48E3C394">
      <w:pPr>
        <w:keepNext w:val="0"/>
        <w:keepLines w:val="0"/>
        <w:pageBreakBefore w:val="0"/>
        <w:widowControl w:val="0"/>
        <w:kinsoku/>
        <w:wordWrap/>
        <w:overflowPunct/>
        <w:topLinePunct w:val="0"/>
        <w:autoSpaceDE/>
        <w:autoSpaceDN/>
        <w:bidi w:val="0"/>
        <w:adjustRightInd w:val="0"/>
        <w:snapToGrid w:val="0"/>
        <w:spacing w:line="360" w:lineRule="auto"/>
        <w:ind w:firstLine="2891" w:firstLineChars="900"/>
        <w:textAlignment w:val="auto"/>
        <w:rPr>
          <w:rFonts w:ascii="宋体" w:hAnsi="宋体"/>
          <w:b/>
          <w:bCs/>
          <w:color w:val="000000"/>
          <w:sz w:val="32"/>
          <w:szCs w:val="32"/>
          <w:highlight w:val="none"/>
          <w:u w:val="single"/>
        </w:rPr>
      </w:pPr>
      <w:r>
        <w:rPr>
          <w:rFonts w:hint="eastAsia" w:ascii="宋体" w:hAnsi="宋体" w:eastAsia="宋体" w:cs="Times New Roman"/>
          <w:b/>
          <w:bCs/>
          <w:color w:val="000000"/>
          <w:sz w:val="32"/>
          <w:szCs w:val="32"/>
          <w:highlight w:val="none"/>
          <w:lang w:eastAsia="zh-CN"/>
        </w:rPr>
        <w:t>项目编号：</w:t>
      </w:r>
      <w:r>
        <w:rPr>
          <w:rFonts w:hint="eastAsia" w:ascii="宋体" w:hAnsi="宋体"/>
          <w:b/>
          <w:bCs/>
          <w:color w:val="000000"/>
          <w:sz w:val="32"/>
          <w:szCs w:val="32"/>
          <w:highlight w:val="none"/>
          <w:u w:val="single"/>
        </w:rPr>
        <w:t xml:space="preserve">    </w:t>
      </w:r>
      <w:r>
        <w:rPr>
          <w:rFonts w:hint="eastAsia" w:ascii="宋体" w:hAnsi="宋体"/>
          <w:b/>
          <w:bCs/>
          <w:color w:val="000000"/>
          <w:sz w:val="32"/>
          <w:szCs w:val="32"/>
          <w:highlight w:val="none"/>
          <w:u w:val="single"/>
          <w:lang w:val="en-US" w:eastAsia="zh-CN"/>
        </w:rPr>
        <w:t xml:space="preserve">   </w:t>
      </w:r>
      <w:r>
        <w:rPr>
          <w:rFonts w:hint="eastAsia" w:ascii="宋体" w:hAnsi="宋体"/>
          <w:b/>
          <w:bCs/>
          <w:color w:val="000000"/>
          <w:sz w:val="32"/>
          <w:szCs w:val="32"/>
          <w:highlight w:val="none"/>
          <w:u w:val="single"/>
        </w:rPr>
        <w:t xml:space="preserve">   </w:t>
      </w:r>
    </w:p>
    <w:p w14:paraId="6545F2FE">
      <w:pPr>
        <w:spacing w:line="360" w:lineRule="auto"/>
        <w:jc w:val="center"/>
        <w:rPr>
          <w:rFonts w:hint="eastAsia" w:ascii="宋体" w:hAnsi="宋体" w:cs="宋体"/>
          <w:b/>
          <w:bCs/>
          <w:color w:val="000000"/>
          <w:spacing w:val="26"/>
          <w:sz w:val="36"/>
          <w:szCs w:val="36"/>
          <w:highlight w:val="none"/>
        </w:rPr>
      </w:pPr>
    </w:p>
    <w:p w14:paraId="49219393">
      <w:pPr>
        <w:spacing w:line="360" w:lineRule="auto"/>
        <w:rPr>
          <w:rFonts w:ascii="宋体" w:hAnsi="宋体"/>
          <w:b/>
          <w:color w:val="000000"/>
          <w:sz w:val="32"/>
          <w:szCs w:val="32"/>
          <w:highlight w:val="none"/>
        </w:rPr>
      </w:pPr>
    </w:p>
    <w:p w14:paraId="308DB73D">
      <w:pPr>
        <w:spacing w:line="360" w:lineRule="auto"/>
        <w:rPr>
          <w:rFonts w:ascii="宋体" w:hAnsi="宋体"/>
          <w:b/>
          <w:color w:val="000000"/>
          <w:sz w:val="32"/>
          <w:szCs w:val="32"/>
          <w:highlight w:val="none"/>
        </w:rPr>
      </w:pPr>
    </w:p>
    <w:p w14:paraId="25D192C9">
      <w:pPr>
        <w:spacing w:line="360" w:lineRule="auto"/>
        <w:rPr>
          <w:rFonts w:ascii="宋体" w:hAnsi="宋体"/>
          <w:b/>
          <w:color w:val="000000"/>
          <w:sz w:val="32"/>
          <w:szCs w:val="32"/>
          <w:highlight w:val="none"/>
        </w:rPr>
      </w:pPr>
    </w:p>
    <w:p w14:paraId="67F4582D">
      <w:pPr>
        <w:spacing w:line="360" w:lineRule="auto"/>
        <w:rPr>
          <w:rFonts w:ascii="宋体" w:hAnsi="宋体"/>
          <w:b/>
          <w:color w:val="000000"/>
          <w:sz w:val="32"/>
          <w:szCs w:val="32"/>
          <w:highlight w:val="none"/>
        </w:rPr>
      </w:pPr>
    </w:p>
    <w:p w14:paraId="4C3F8411">
      <w:pPr>
        <w:spacing w:line="360" w:lineRule="auto"/>
        <w:jc w:val="center"/>
        <w:rPr>
          <w:rFonts w:hint="eastAsia" w:ascii="宋体" w:hAnsi="宋体" w:eastAsia="宋体" w:cs="宋体"/>
          <w:b/>
          <w:bCs/>
          <w:color w:val="000000"/>
          <w:sz w:val="32"/>
          <w:szCs w:val="32"/>
          <w:highlight w:val="none"/>
          <w:lang w:eastAsia="zh-CN"/>
        </w:rPr>
      </w:pPr>
      <w:r>
        <w:rPr>
          <w:rFonts w:hint="eastAsia" w:ascii="宋体" w:hAnsi="宋体" w:cs="宋体"/>
          <w:b/>
          <w:bCs/>
          <w:color w:val="000000"/>
          <w:sz w:val="32"/>
          <w:szCs w:val="32"/>
          <w:highlight w:val="none"/>
        </w:rPr>
        <w:t>甲方：</w:t>
      </w:r>
      <w:r>
        <w:rPr>
          <w:rFonts w:hint="eastAsia" w:ascii="宋体" w:hAnsi="宋体" w:cs="宋体"/>
          <w:b/>
          <w:bCs/>
          <w:color w:val="000000"/>
          <w:sz w:val="32"/>
          <w:szCs w:val="32"/>
          <w:highlight w:val="none"/>
          <w:lang w:eastAsia="zh-CN"/>
        </w:rPr>
        <w:t>西安市统计局</w:t>
      </w:r>
    </w:p>
    <w:p w14:paraId="07FC6F7B">
      <w:pPr>
        <w:ind w:firstLine="2891" w:firstLineChars="900"/>
        <w:jc w:val="both"/>
        <w:rPr>
          <w:rFonts w:hint="default" w:ascii="宋体" w:hAnsi="宋体" w:eastAsia="宋体"/>
          <w:b/>
          <w:bCs/>
          <w:color w:val="000000"/>
          <w:sz w:val="32"/>
          <w:szCs w:val="32"/>
          <w:highlight w:val="none"/>
          <w:u w:val="single"/>
          <w:lang w:val="en-US" w:eastAsia="zh-CN"/>
        </w:rPr>
      </w:pPr>
      <w:r>
        <w:rPr>
          <w:rFonts w:hint="eastAsia" w:ascii="宋体" w:hAnsi="宋体" w:cs="宋体"/>
          <w:b/>
          <w:bCs/>
          <w:color w:val="000000"/>
          <w:sz w:val="32"/>
          <w:szCs w:val="32"/>
          <w:highlight w:val="none"/>
        </w:rPr>
        <w:t>乙方：</w:t>
      </w:r>
      <w:r>
        <w:rPr>
          <w:rFonts w:hint="eastAsia" w:ascii="宋体" w:hAnsi="宋体" w:cs="宋体"/>
          <w:b/>
          <w:bCs/>
          <w:color w:val="000000"/>
          <w:sz w:val="32"/>
          <w:szCs w:val="32"/>
          <w:highlight w:val="none"/>
          <w:u w:val="single"/>
          <w:lang w:val="en-US" w:eastAsia="zh-CN"/>
        </w:rPr>
        <w:t xml:space="preserve">             </w:t>
      </w:r>
    </w:p>
    <w:p w14:paraId="556979A3">
      <w:pPr>
        <w:spacing w:line="360" w:lineRule="auto"/>
        <w:jc w:val="both"/>
        <w:rPr>
          <w:rFonts w:hint="eastAsia" w:ascii="宋体" w:hAnsi="宋体" w:cs="宋体"/>
          <w:b/>
          <w:bCs/>
          <w:color w:val="000000"/>
          <w:spacing w:val="26"/>
          <w:sz w:val="30"/>
          <w:szCs w:val="30"/>
          <w:highlight w:val="none"/>
        </w:rPr>
      </w:pPr>
    </w:p>
    <w:p w14:paraId="45C4BE55">
      <w:pPr>
        <w:spacing w:line="360" w:lineRule="auto"/>
        <w:jc w:val="center"/>
        <w:rPr>
          <w:rFonts w:hint="eastAsia" w:ascii="宋体" w:hAnsi="宋体" w:cs="宋体"/>
          <w:b/>
          <w:bCs/>
          <w:color w:val="000000"/>
          <w:spacing w:val="26"/>
          <w:sz w:val="30"/>
          <w:szCs w:val="30"/>
          <w:highlight w:val="none"/>
        </w:rPr>
      </w:pPr>
      <w:r>
        <w:rPr>
          <w:rFonts w:hint="eastAsia" w:ascii="宋体" w:hAnsi="宋体" w:cs="宋体"/>
          <w:b/>
          <w:bCs/>
          <w:color w:val="000000"/>
          <w:spacing w:val="26"/>
          <w:sz w:val="30"/>
          <w:szCs w:val="30"/>
          <w:highlight w:val="none"/>
        </w:rPr>
        <w:t>二〇二</w:t>
      </w:r>
      <w:r>
        <w:rPr>
          <w:rFonts w:hint="eastAsia" w:ascii="宋体" w:hAnsi="宋体" w:cs="宋体"/>
          <w:b/>
          <w:bCs/>
          <w:color w:val="000000"/>
          <w:spacing w:val="26"/>
          <w:sz w:val="30"/>
          <w:szCs w:val="30"/>
          <w:highlight w:val="none"/>
          <w:lang w:val="en-US" w:eastAsia="zh-CN"/>
        </w:rPr>
        <w:t>六</w:t>
      </w:r>
      <w:r>
        <w:rPr>
          <w:rFonts w:hint="eastAsia" w:ascii="宋体" w:hAnsi="宋体" w:cs="宋体"/>
          <w:b/>
          <w:bCs/>
          <w:color w:val="000000"/>
          <w:spacing w:val="26"/>
          <w:sz w:val="30"/>
          <w:szCs w:val="30"/>
          <w:highlight w:val="none"/>
        </w:rPr>
        <w:t>年</w:t>
      </w:r>
      <w:r>
        <w:rPr>
          <w:rFonts w:hint="eastAsia" w:ascii="宋体" w:hAnsi="宋体" w:cs="宋体"/>
          <w:b/>
          <w:bCs/>
          <w:color w:val="000000"/>
          <w:spacing w:val="26"/>
          <w:sz w:val="30"/>
          <w:szCs w:val="30"/>
          <w:highlight w:val="none"/>
          <w:u w:val="single"/>
        </w:rPr>
        <w:t xml:space="preserve">  </w:t>
      </w:r>
      <w:r>
        <w:rPr>
          <w:rFonts w:hint="eastAsia" w:ascii="宋体" w:hAnsi="宋体" w:cs="宋体"/>
          <w:b/>
          <w:bCs/>
          <w:color w:val="000000"/>
          <w:spacing w:val="26"/>
          <w:sz w:val="30"/>
          <w:szCs w:val="30"/>
          <w:highlight w:val="none"/>
        </w:rPr>
        <w:t>月</w:t>
      </w:r>
      <w:r>
        <w:rPr>
          <w:rFonts w:hint="eastAsia" w:ascii="宋体" w:hAnsi="宋体" w:cs="宋体"/>
          <w:b/>
          <w:bCs/>
          <w:color w:val="000000"/>
          <w:spacing w:val="26"/>
          <w:sz w:val="30"/>
          <w:szCs w:val="30"/>
          <w:highlight w:val="none"/>
          <w:u w:val="single"/>
        </w:rPr>
        <w:t xml:space="preserve">  </w:t>
      </w:r>
      <w:r>
        <w:rPr>
          <w:rFonts w:hint="eastAsia" w:ascii="宋体" w:hAnsi="宋体" w:cs="宋体"/>
          <w:b/>
          <w:bCs/>
          <w:color w:val="000000"/>
          <w:spacing w:val="26"/>
          <w:sz w:val="30"/>
          <w:szCs w:val="30"/>
          <w:highlight w:val="none"/>
        </w:rPr>
        <w:t>日</w:t>
      </w:r>
    </w:p>
    <w:p w14:paraId="3E269D2A">
      <w:pPr>
        <w:spacing w:line="360" w:lineRule="auto"/>
        <w:jc w:val="both"/>
        <w:rPr>
          <w:rFonts w:hint="eastAsia" w:ascii="宋体" w:hAnsi="宋体"/>
          <w:b/>
          <w:color w:val="000000"/>
          <w:sz w:val="44"/>
          <w:szCs w:val="44"/>
          <w:highlight w:val="none"/>
        </w:rPr>
        <w:sectPr>
          <w:footerReference r:id="rId5" w:type="first"/>
          <w:headerReference r:id="rId3" w:type="default"/>
          <w:footerReference r:id="rId4" w:type="default"/>
          <w:pgSz w:w="11906" w:h="16838"/>
          <w:pgMar w:top="1440" w:right="1576" w:bottom="1440" w:left="1576" w:header="851" w:footer="992" w:gutter="0"/>
          <w:pgNumType w:fmt="decimal"/>
          <w:cols w:space="720" w:num="1"/>
          <w:titlePg/>
          <w:docGrid w:type="lines" w:linePitch="312" w:charSpace="0"/>
        </w:sectPr>
      </w:pPr>
    </w:p>
    <w:p w14:paraId="17C3DDD8">
      <w:pPr>
        <w:spacing w:line="360" w:lineRule="auto"/>
        <w:jc w:val="center"/>
        <w:rPr>
          <w:rFonts w:hint="eastAsia" w:ascii="宋体" w:hAnsi="宋体" w:eastAsia="宋体" w:cs="宋体"/>
          <w:b/>
          <w:caps w:val="0"/>
          <w:color w:val="auto"/>
          <w:sz w:val="30"/>
          <w:szCs w:val="30"/>
          <w:highlight w:val="none"/>
        </w:rPr>
      </w:pPr>
      <w:r>
        <w:rPr>
          <w:rFonts w:hint="eastAsia" w:ascii="宋体" w:hAnsi="宋体" w:eastAsia="宋体" w:cs="宋体"/>
          <w:b/>
          <w:caps w:val="0"/>
          <w:color w:val="auto"/>
          <w:sz w:val="44"/>
          <w:szCs w:val="44"/>
          <w:highlight w:val="none"/>
          <w:lang w:eastAsia="zh-CN"/>
        </w:rPr>
        <w:t>服务</w:t>
      </w:r>
      <w:r>
        <w:rPr>
          <w:rFonts w:hint="eastAsia" w:ascii="宋体" w:hAnsi="宋体" w:eastAsia="宋体" w:cs="宋体"/>
          <w:b/>
          <w:caps w:val="0"/>
          <w:color w:val="auto"/>
          <w:sz w:val="44"/>
          <w:szCs w:val="44"/>
          <w:highlight w:val="none"/>
        </w:rPr>
        <w:t>合同</w:t>
      </w:r>
    </w:p>
    <w:p w14:paraId="357138A1">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82" w:firstLineChars="200"/>
        <w:rPr>
          <w:rFonts w:hint="eastAsia" w:ascii="宋体" w:hAnsi="宋体" w:eastAsia="宋体" w:cs="宋体"/>
          <w:b/>
          <w:caps w:val="0"/>
          <w:color w:val="auto"/>
          <w:sz w:val="24"/>
          <w:szCs w:val="24"/>
          <w:highlight w:val="none"/>
          <w:lang w:eastAsia="zh-CN"/>
        </w:rPr>
      </w:pPr>
      <w:r>
        <w:rPr>
          <w:rFonts w:hint="eastAsia" w:ascii="宋体" w:hAnsi="宋体" w:eastAsia="宋体" w:cs="宋体"/>
          <w:b/>
          <w:bCs/>
          <w:caps w:val="0"/>
          <w:color w:val="auto"/>
          <w:sz w:val="24"/>
          <w:szCs w:val="24"/>
          <w:highlight w:val="none"/>
        </w:rPr>
        <w:t>甲方：</w:t>
      </w:r>
      <w:r>
        <w:rPr>
          <w:rFonts w:hint="eastAsia" w:ascii="宋体" w:hAnsi="宋体" w:cs="宋体"/>
          <w:caps w:val="0"/>
          <w:color w:val="auto"/>
          <w:sz w:val="24"/>
          <w:szCs w:val="24"/>
          <w:highlight w:val="none"/>
          <w:u w:val="single"/>
          <w:lang w:eastAsia="zh-CN"/>
        </w:rPr>
        <w:t>西安市统计局</w:t>
      </w:r>
    </w:p>
    <w:p w14:paraId="5C54F088">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left="0" w:leftChars="0" w:firstLine="482" w:firstLineChars="200"/>
        <w:rPr>
          <w:rFonts w:hint="eastAsia" w:ascii="宋体" w:hAnsi="宋体" w:eastAsia="宋体" w:cs="宋体"/>
          <w:b/>
          <w:bCs/>
          <w:caps w:val="0"/>
          <w:color w:val="auto"/>
          <w:sz w:val="24"/>
          <w:szCs w:val="24"/>
          <w:highlight w:val="none"/>
        </w:rPr>
      </w:pPr>
      <w:r>
        <w:rPr>
          <w:rFonts w:hint="eastAsia" w:ascii="宋体" w:hAnsi="宋体" w:eastAsia="宋体" w:cs="宋体"/>
          <w:b/>
          <w:bCs/>
          <w:caps w:val="0"/>
          <w:color w:val="auto"/>
          <w:sz w:val="24"/>
          <w:szCs w:val="24"/>
          <w:highlight w:val="none"/>
        </w:rPr>
        <w:t>乙方：</w:t>
      </w:r>
      <w:r>
        <w:rPr>
          <w:rFonts w:hint="eastAsia" w:ascii="宋体" w:hAnsi="宋体" w:eastAsia="宋体" w:cs="宋体"/>
          <w:bCs/>
          <w:caps w:val="0"/>
          <w:color w:val="auto"/>
          <w:sz w:val="24"/>
          <w:szCs w:val="24"/>
          <w:highlight w:val="none"/>
          <w:u w:val="single"/>
        </w:rPr>
        <w:t xml:space="preserve">       </w:t>
      </w:r>
      <w:r>
        <w:rPr>
          <w:rFonts w:hint="eastAsia" w:ascii="宋体" w:hAnsi="宋体" w:eastAsia="宋体" w:cs="宋体"/>
          <w:bCs/>
          <w:caps w:val="0"/>
          <w:color w:val="auto"/>
          <w:sz w:val="24"/>
          <w:szCs w:val="24"/>
          <w:highlight w:val="none"/>
          <w:u w:val="single"/>
          <w:lang w:val="en-US" w:eastAsia="zh-CN"/>
        </w:rPr>
        <w:t xml:space="preserve"> </w:t>
      </w:r>
      <w:r>
        <w:rPr>
          <w:rFonts w:hint="eastAsia" w:ascii="宋体" w:hAnsi="宋体" w:eastAsia="宋体" w:cs="宋体"/>
          <w:bCs/>
          <w:caps w:val="0"/>
          <w:color w:val="auto"/>
          <w:sz w:val="24"/>
          <w:szCs w:val="24"/>
          <w:highlight w:val="none"/>
          <w:u w:val="single"/>
        </w:rPr>
        <w:t xml:space="preserve">    </w:t>
      </w:r>
    </w:p>
    <w:p w14:paraId="208A01B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依据《中华人民共和国</w:t>
      </w:r>
      <w:r>
        <w:rPr>
          <w:rFonts w:hint="eastAsia" w:ascii="宋体" w:hAnsi="宋体" w:eastAsia="宋体" w:cs="宋体"/>
          <w:sz w:val="24"/>
          <w:szCs w:val="24"/>
          <w:highlight w:val="none"/>
          <w:lang w:val="en-US" w:eastAsia="zh-CN"/>
        </w:rPr>
        <w:t>民法典</w:t>
      </w:r>
      <w:r>
        <w:rPr>
          <w:rFonts w:hint="eastAsia" w:ascii="宋体" w:hAnsi="宋体" w:eastAsia="宋体" w:cs="宋体"/>
          <w:sz w:val="24"/>
          <w:szCs w:val="24"/>
          <w:highlight w:val="none"/>
        </w:rPr>
        <w:t>》与项目行业有关的法律法规，以及</w:t>
      </w:r>
      <w:r>
        <w:rPr>
          <w:rFonts w:hint="eastAsia" w:ascii="宋体" w:hAnsi="宋体" w:cs="宋体"/>
          <w:sz w:val="24"/>
          <w:szCs w:val="24"/>
          <w:highlight w:val="none"/>
          <w:lang w:eastAsia="zh-CN"/>
        </w:rPr>
        <w:t>西安市统计局</w:t>
      </w:r>
      <w:r>
        <w:rPr>
          <w:rFonts w:hint="eastAsia" w:ascii="宋体" w:hAnsi="宋体" w:eastAsia="宋体" w:cs="宋体"/>
          <w:sz w:val="24"/>
          <w:szCs w:val="24"/>
          <w:highlight w:val="none"/>
          <w:u w:val="single"/>
          <w:lang w:eastAsia="zh-CN"/>
        </w:rPr>
        <w:t>1%人口抽样调查数据资料开发服务项目</w:t>
      </w:r>
      <w:r>
        <w:rPr>
          <w:rFonts w:hint="eastAsia" w:ascii="宋体" w:hAnsi="宋体" w:eastAsia="宋体" w:cs="宋体"/>
          <w:sz w:val="24"/>
          <w:szCs w:val="24"/>
          <w:highlight w:val="none"/>
        </w:rPr>
        <w:t>（项目编号：</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sz w:val="24"/>
          <w:szCs w:val="24"/>
          <w:highlight w:val="none"/>
        </w:rPr>
        <w:t>）的《</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lang w:eastAsia="zh-CN"/>
        </w:rPr>
        <w:t>文件</w:t>
      </w:r>
      <w:r>
        <w:rPr>
          <w:rFonts w:hint="eastAsia" w:ascii="宋体" w:hAnsi="宋体" w:eastAsia="宋体" w:cs="宋体"/>
          <w:sz w:val="24"/>
          <w:szCs w:val="24"/>
          <w:highlight w:val="none"/>
        </w:rPr>
        <w:t>》，乙方的《</w:t>
      </w:r>
      <w:r>
        <w:rPr>
          <w:rFonts w:hint="eastAsia" w:ascii="宋体" w:hAnsi="宋体" w:cs="宋体"/>
          <w:sz w:val="24"/>
          <w:szCs w:val="24"/>
          <w:highlight w:val="none"/>
          <w:lang w:val="en-US" w:eastAsia="zh-CN"/>
        </w:rPr>
        <w:t>响应</w:t>
      </w:r>
      <w:r>
        <w:rPr>
          <w:rFonts w:hint="eastAsia" w:ascii="宋体" w:hAnsi="宋体" w:eastAsia="宋体" w:cs="宋体"/>
          <w:sz w:val="24"/>
          <w:szCs w:val="24"/>
          <w:highlight w:val="none"/>
          <w:lang w:val="en-US" w:eastAsia="zh-CN"/>
        </w:rPr>
        <w:t>文件</w:t>
      </w:r>
      <w:r>
        <w:rPr>
          <w:rFonts w:hint="eastAsia" w:ascii="宋体" w:hAnsi="宋体" w:eastAsia="宋体" w:cs="宋体"/>
          <w:sz w:val="24"/>
          <w:szCs w:val="24"/>
          <w:highlight w:val="none"/>
        </w:rPr>
        <w:t>》及《</w:t>
      </w:r>
      <w:r>
        <w:rPr>
          <w:rFonts w:hint="eastAsia" w:ascii="宋体" w:hAnsi="宋体" w:eastAsia="宋体" w:cs="宋体"/>
          <w:sz w:val="24"/>
          <w:szCs w:val="24"/>
          <w:highlight w:val="none"/>
          <w:lang w:val="en-US" w:eastAsia="zh-CN"/>
        </w:rPr>
        <w:t>中标</w:t>
      </w:r>
      <w:r>
        <w:rPr>
          <w:rFonts w:hint="eastAsia" w:ascii="宋体" w:hAnsi="宋体" w:cs="宋体"/>
          <w:sz w:val="24"/>
          <w:szCs w:val="24"/>
          <w:highlight w:val="none"/>
          <w:lang w:val="en-US" w:eastAsia="zh-CN"/>
        </w:rPr>
        <w:t>（成交）</w:t>
      </w:r>
      <w:r>
        <w:rPr>
          <w:rFonts w:hint="eastAsia" w:ascii="宋体" w:hAnsi="宋体" w:eastAsia="宋体" w:cs="宋体"/>
          <w:sz w:val="24"/>
          <w:szCs w:val="24"/>
          <w:highlight w:val="none"/>
          <w:lang w:val="en-US" w:eastAsia="zh-CN"/>
        </w:rPr>
        <w:t>通知书</w:t>
      </w:r>
      <w:r>
        <w:rPr>
          <w:rFonts w:hint="eastAsia" w:ascii="宋体" w:hAnsi="宋体" w:eastAsia="宋体" w:cs="宋体"/>
          <w:sz w:val="24"/>
          <w:szCs w:val="24"/>
          <w:highlight w:val="none"/>
        </w:rPr>
        <w:t>》，甲、乙双方同意签订本合同。详细技术说明及其他有关合同项目的特定信息由合同附件予以说明，合同附件及本项目的《</w:t>
      </w:r>
      <w:r>
        <w:rPr>
          <w:rFonts w:hint="eastAsia" w:ascii="宋体" w:hAnsi="宋体" w:eastAsia="宋体" w:cs="宋体"/>
          <w:sz w:val="24"/>
          <w:szCs w:val="24"/>
          <w:highlight w:val="none"/>
          <w:lang w:val="en-US" w:eastAsia="zh-CN"/>
        </w:rPr>
        <w:t>竞争性</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lang w:eastAsia="zh-CN"/>
        </w:rPr>
        <w:t>文件</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响应</w:t>
      </w:r>
      <w:r>
        <w:rPr>
          <w:rFonts w:hint="eastAsia" w:ascii="宋体" w:hAnsi="宋体" w:eastAsia="宋体" w:cs="宋体"/>
          <w:sz w:val="24"/>
          <w:szCs w:val="24"/>
          <w:highlight w:val="none"/>
          <w:lang w:eastAsia="zh-CN"/>
        </w:rPr>
        <w:t>文件</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中标</w:t>
      </w:r>
      <w:r>
        <w:rPr>
          <w:rFonts w:hint="eastAsia" w:ascii="宋体" w:hAnsi="宋体" w:cs="宋体"/>
          <w:sz w:val="24"/>
          <w:szCs w:val="24"/>
          <w:highlight w:val="none"/>
          <w:lang w:val="en-US" w:eastAsia="zh-CN"/>
        </w:rPr>
        <w:t>（成交）</w:t>
      </w:r>
      <w:r>
        <w:rPr>
          <w:rFonts w:hint="eastAsia" w:ascii="宋体" w:hAnsi="宋体" w:eastAsia="宋体" w:cs="宋体"/>
          <w:sz w:val="24"/>
          <w:szCs w:val="24"/>
          <w:highlight w:val="none"/>
          <w:lang w:val="en-US" w:eastAsia="zh-CN"/>
        </w:rPr>
        <w:t>通知书</w:t>
      </w:r>
      <w:r>
        <w:rPr>
          <w:rFonts w:hint="eastAsia" w:ascii="宋体" w:hAnsi="宋体" w:eastAsia="宋体" w:cs="宋体"/>
          <w:sz w:val="24"/>
          <w:szCs w:val="24"/>
          <w:highlight w:val="none"/>
        </w:rPr>
        <w:t>》等均为本合同的组成部分。</w:t>
      </w:r>
    </w:p>
    <w:p w14:paraId="652F46A5">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项目基本情况</w:t>
      </w:r>
    </w:p>
    <w:p w14:paraId="27261C1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bCs/>
          <w:sz w:val="24"/>
          <w:szCs w:val="24"/>
          <w:highlight w:val="none"/>
          <w:u w:val="single"/>
        </w:rPr>
      </w:pPr>
      <w:r>
        <w:rPr>
          <w:rFonts w:hint="eastAsia" w:ascii="宋体" w:hAnsi="宋体" w:eastAsia="宋体" w:cs="宋体"/>
          <w:b w:val="0"/>
          <w:bCs/>
          <w:sz w:val="24"/>
          <w:szCs w:val="24"/>
          <w:highlight w:val="none"/>
          <w:u w:val="none"/>
        </w:rPr>
        <w:t>西安市统计局1%人口抽样调查数据资料开发服务项目，拟选择一家供应商为本项目提供数据处理技术支持团队，根据业务及时间要求，提供西安市及所辖特定区域完成数据入库治理、数据汇总、资料开发等阶段的技术支持工作。</w:t>
      </w:r>
    </w:p>
    <w:p w14:paraId="2E1BE961">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合同期限</w:t>
      </w:r>
    </w:p>
    <w:p w14:paraId="061680CE">
      <w:pPr>
        <w:adjustRightInd w:val="0"/>
        <w:snapToGrid w:val="0"/>
        <w:spacing w:line="360" w:lineRule="auto"/>
        <w:ind w:firstLine="480" w:firstLineChars="200"/>
        <w:rPr>
          <w:rFonts w:hint="default" w:ascii="宋体" w:hAnsi="宋体" w:cs="宋体"/>
          <w:color w:val="auto"/>
          <w:sz w:val="24"/>
          <w:highlight w:val="none"/>
          <w:u w:val="none"/>
          <w:lang w:val="en-US"/>
        </w:rPr>
      </w:pPr>
      <w:bookmarkStart w:id="0" w:name="_Toc185395249"/>
      <w:bookmarkStart w:id="1" w:name="_Toc239568418"/>
      <w:bookmarkStart w:id="2" w:name="_Toc247334841"/>
      <w:bookmarkStart w:id="3" w:name="_Toc241833903"/>
      <w:bookmarkStart w:id="4" w:name="_Toc225244852"/>
      <w:bookmarkStart w:id="5" w:name="_Toc212019594"/>
      <w:bookmarkStart w:id="6" w:name="_Toc237145406"/>
      <w:bookmarkStart w:id="7" w:name="_Toc239233914"/>
      <w:bookmarkStart w:id="8" w:name="_Toc211854449"/>
      <w:bookmarkStart w:id="9" w:name="_Toc211911348"/>
      <w:bookmarkStart w:id="10" w:name="_Toc238984975"/>
      <w:bookmarkStart w:id="11" w:name="_Toc225670751"/>
      <w:bookmarkStart w:id="12" w:name="_Toc225654644"/>
      <w:bookmarkStart w:id="13" w:name="_Toc232492928"/>
      <w:bookmarkStart w:id="14" w:name="_Toc283019214"/>
      <w:bookmarkStart w:id="15" w:name="_Toc251768862"/>
      <w:bookmarkStart w:id="16" w:name="_Toc282696226"/>
      <w:bookmarkStart w:id="17" w:name="_Toc286993786"/>
      <w:r>
        <w:rPr>
          <w:rFonts w:hint="eastAsia" w:ascii="宋体" w:hAnsi="宋体" w:cs="宋体"/>
          <w:color w:val="auto"/>
          <w:sz w:val="24"/>
          <w:highlight w:val="none"/>
          <w:lang w:val="en-US" w:eastAsia="zh-CN"/>
        </w:rPr>
        <w:t>自合同签订之日起1年，即自2026年</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none"/>
          <w:lang w:val="en-US" w:eastAsia="zh-CN"/>
        </w:rPr>
        <w:t>月</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none"/>
          <w:lang w:val="en-US" w:eastAsia="zh-CN"/>
        </w:rPr>
        <w:t>日起至</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lang w:val="en-US" w:eastAsia="zh-CN"/>
        </w:rPr>
        <w:t>年</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none"/>
          <w:lang w:val="en-US" w:eastAsia="zh-CN"/>
        </w:rPr>
        <w:t>月</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none"/>
          <w:lang w:val="en-US" w:eastAsia="zh-CN"/>
        </w:rPr>
        <w:t>日止。</w:t>
      </w:r>
    </w:p>
    <w:p w14:paraId="02D98248">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服务内容与质量标准</w:t>
      </w:r>
    </w:p>
    <w:p w14:paraId="292FB815">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服务标准</w:t>
      </w:r>
    </w:p>
    <w:p w14:paraId="44542C65">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《全国人口普查条例》《国务院办公厅关于开展 2025年全国 1%人口抽样调查的通知》（国办函〔2024〕71号）、《2025年全国1%人口抽样调查方案》、《2025年全国1%人口抽样调查数据处理方案》</w:t>
      </w:r>
    </w:p>
    <w:p w14:paraId="0085625E">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服务要求</w:t>
      </w:r>
    </w:p>
    <w:p w14:paraId="2148DCEE">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2.1</w:t>
      </w:r>
      <w:r>
        <w:rPr>
          <w:rFonts w:hint="eastAsia" w:ascii="宋体" w:hAnsi="宋体" w:eastAsia="宋体" w:cs="宋体"/>
          <w:color w:val="auto"/>
          <w:sz w:val="24"/>
          <w:szCs w:val="24"/>
          <w:highlight w:val="none"/>
        </w:rPr>
        <w:t>提供技术服务所需软件和相关工具。首先，所提供服务软件和相关工具必须具有自主版权或经第三方正式授权的软件系统和相关工具，支持在国产化环境下部署，提供中文化的操作环境和常用图形管理工具；其次，能支撑</w:t>
      </w:r>
      <w:r>
        <w:rPr>
          <w:rFonts w:hint="eastAsia" w:ascii="宋体" w:hAnsi="宋体" w:eastAsia="宋体" w:cs="宋体"/>
          <w:color w:val="auto"/>
          <w:sz w:val="24"/>
          <w:szCs w:val="24"/>
          <w:highlight w:val="none"/>
          <w:lang w:eastAsia="zh-CN"/>
        </w:rPr>
        <w:t>人口调查</w:t>
      </w:r>
      <w:r>
        <w:rPr>
          <w:rFonts w:hint="eastAsia" w:ascii="宋体" w:hAnsi="宋体" w:eastAsia="宋体" w:cs="宋体"/>
          <w:color w:val="auto"/>
          <w:sz w:val="24"/>
          <w:szCs w:val="24"/>
          <w:highlight w:val="none"/>
        </w:rPr>
        <w:t>相关数据管理、加工处理、汇总分析等满足各部门对</w:t>
      </w:r>
      <w:r>
        <w:rPr>
          <w:rFonts w:hint="eastAsia" w:ascii="宋体" w:hAnsi="宋体" w:eastAsia="宋体" w:cs="宋体"/>
          <w:color w:val="auto"/>
          <w:sz w:val="24"/>
          <w:szCs w:val="24"/>
          <w:highlight w:val="none"/>
          <w:lang w:eastAsia="zh-CN"/>
        </w:rPr>
        <w:t>人口调查</w:t>
      </w:r>
      <w:r>
        <w:rPr>
          <w:rFonts w:hint="eastAsia" w:ascii="宋体" w:hAnsi="宋体" w:eastAsia="宋体" w:cs="宋体"/>
          <w:color w:val="auto"/>
          <w:sz w:val="24"/>
          <w:szCs w:val="24"/>
          <w:highlight w:val="none"/>
        </w:rPr>
        <w:t>数据服务的需求。</w:t>
      </w:r>
    </w:p>
    <w:p w14:paraId="46BC5D72">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2.2</w:t>
      </w:r>
      <w:r>
        <w:rPr>
          <w:rFonts w:hint="eastAsia" w:ascii="宋体" w:hAnsi="宋体" w:eastAsia="宋体" w:cs="宋体"/>
          <w:color w:val="auto"/>
          <w:sz w:val="24"/>
          <w:szCs w:val="24"/>
          <w:highlight w:val="none"/>
        </w:rPr>
        <w:t>提供的服务软件是指完成本次服务提供的相关软件和系统，具有元数据管理、数据交换、数据查询、综合分析、数据资源管理、系统管理等功能。</w:t>
      </w:r>
    </w:p>
    <w:p w14:paraId="2E17AC70">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2.3</w:t>
      </w:r>
      <w:r>
        <w:rPr>
          <w:rFonts w:hint="eastAsia" w:ascii="宋体" w:hAnsi="宋体" w:eastAsia="宋体" w:cs="宋体"/>
          <w:color w:val="auto"/>
          <w:sz w:val="24"/>
          <w:szCs w:val="24"/>
          <w:highlight w:val="none"/>
        </w:rPr>
        <w:t>提供不少于</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人的技术</w:t>
      </w:r>
      <w:r>
        <w:rPr>
          <w:rFonts w:hint="eastAsia" w:ascii="宋体" w:hAnsi="宋体" w:eastAsia="宋体" w:cs="宋体"/>
          <w:color w:val="auto"/>
          <w:sz w:val="24"/>
          <w:szCs w:val="24"/>
          <w:highlight w:val="none"/>
        </w:rPr>
        <w:t>服务团队</w:t>
      </w:r>
      <w:r>
        <w:rPr>
          <w:rFonts w:hint="eastAsia" w:ascii="宋体" w:hAnsi="宋体" w:eastAsia="宋体" w:cs="宋体"/>
          <w:color w:val="auto"/>
          <w:sz w:val="24"/>
          <w:szCs w:val="24"/>
          <w:highlight w:val="none"/>
        </w:rPr>
        <w:t>，全部为正式员工，专业性强，能够对统计业务有深刻的理解，应对复杂数据需求能力突出，在</w:t>
      </w:r>
      <w:r>
        <w:rPr>
          <w:rFonts w:hint="eastAsia" w:ascii="宋体" w:hAnsi="宋体" w:eastAsia="宋体" w:cs="宋体"/>
          <w:color w:val="auto"/>
          <w:sz w:val="24"/>
          <w:szCs w:val="24"/>
          <w:highlight w:val="none"/>
          <w:lang w:eastAsia="zh-CN"/>
        </w:rPr>
        <w:t>人调办</w:t>
      </w:r>
      <w:r>
        <w:rPr>
          <w:rFonts w:hint="eastAsia" w:ascii="宋体" w:hAnsi="宋体" w:eastAsia="宋体" w:cs="宋体"/>
          <w:color w:val="auto"/>
          <w:sz w:val="24"/>
          <w:szCs w:val="24"/>
          <w:highlight w:val="none"/>
        </w:rPr>
        <w:t>数据处理组提供的环境开展驻场，远程支持及培训服务，服务周期不少于1年。</w:t>
      </w:r>
    </w:p>
    <w:p w14:paraId="10236524">
      <w:pPr>
        <w:pStyle w:val="9"/>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2" w:firstLineChars="200"/>
        <w:outlineLvl w:val="0"/>
        <w:rPr>
          <w:rFonts w:hint="eastAsia" w:ascii="宋体" w:hAnsi="宋体" w:eastAsia="宋体" w:cs="宋体"/>
          <w:b/>
          <w:color w:val="auto"/>
          <w:sz w:val="24"/>
          <w:szCs w:val="24"/>
          <w:highlight w:val="none"/>
        </w:rPr>
      </w:pPr>
      <w:r>
        <w:rPr>
          <w:rFonts w:hint="eastAsia" w:ascii="宋体" w:hAnsi="宋体" w:eastAsia="宋体" w:cs="宋体"/>
          <w:b/>
          <w:color w:val="auto"/>
          <w:kern w:val="2"/>
          <w:sz w:val="24"/>
          <w:szCs w:val="24"/>
          <w:highlight w:val="none"/>
          <w:lang w:val="en-US" w:eastAsia="zh-CN" w:bidi="ar-SA"/>
        </w:rPr>
        <w:t>3.</w:t>
      </w:r>
      <w:r>
        <w:rPr>
          <w:rFonts w:hint="eastAsia" w:ascii="宋体" w:hAnsi="宋体" w:eastAsia="宋体" w:cs="宋体"/>
          <w:b/>
          <w:color w:val="auto"/>
          <w:sz w:val="24"/>
          <w:szCs w:val="24"/>
          <w:highlight w:val="none"/>
        </w:rPr>
        <w:t>服务内容</w:t>
      </w:r>
    </w:p>
    <w:tbl>
      <w:tblPr>
        <w:tblStyle w:val="7"/>
        <w:tblW w:w="49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1438"/>
        <w:gridCol w:w="6233"/>
      </w:tblGrid>
      <w:tr w14:paraId="7B351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426" w:type="pct"/>
            <w:noWrap w:val="0"/>
            <w:vAlign w:val="top"/>
          </w:tcPr>
          <w:p w14:paraId="2F5068BE">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top"/>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序号</w:t>
            </w:r>
          </w:p>
        </w:tc>
        <w:tc>
          <w:tcPr>
            <w:tcW w:w="857" w:type="pct"/>
            <w:noWrap w:val="0"/>
            <w:vAlign w:val="top"/>
          </w:tcPr>
          <w:p w14:paraId="1ED96135">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top"/>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服务项目</w:t>
            </w:r>
          </w:p>
        </w:tc>
        <w:tc>
          <w:tcPr>
            <w:tcW w:w="3715" w:type="pct"/>
            <w:noWrap w:val="0"/>
            <w:vAlign w:val="top"/>
          </w:tcPr>
          <w:p w14:paraId="6A152B36">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top"/>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服务需求</w:t>
            </w:r>
          </w:p>
        </w:tc>
      </w:tr>
      <w:tr w14:paraId="1D342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26" w:type="pct"/>
            <w:noWrap w:val="0"/>
            <w:vAlign w:val="center"/>
          </w:tcPr>
          <w:p w14:paraId="4A3B3FDB">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857" w:type="pct"/>
            <w:noWrap w:val="0"/>
            <w:vAlign w:val="center"/>
          </w:tcPr>
          <w:p w14:paraId="45AC719D">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服务软件</w:t>
            </w:r>
          </w:p>
        </w:tc>
        <w:tc>
          <w:tcPr>
            <w:tcW w:w="3715" w:type="pct"/>
            <w:noWrap w:val="0"/>
            <w:vAlign w:val="top"/>
          </w:tcPr>
          <w:p w14:paraId="1193D4F3">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left"/>
              <w:textAlignment w:val="top"/>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1</w:t>
            </w:r>
            <w:r>
              <w:rPr>
                <w:rFonts w:hint="eastAsia" w:ascii="宋体" w:hAnsi="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bidi="ar"/>
              </w:rPr>
              <w:t>系统内置全国1%人口抽样调查数据交换工具，支持国家1%人口抽样调查采集系统导出数据的一键导入、一键入库</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lang w:bidi="ar"/>
              </w:rPr>
              <w:br w:type="textWrapping"/>
            </w:r>
            <w:r>
              <w:rPr>
                <w:rFonts w:hint="eastAsia" w:ascii="宋体" w:hAnsi="宋体" w:eastAsia="宋体" w:cs="宋体"/>
                <w:color w:val="auto"/>
                <w:kern w:val="0"/>
                <w:sz w:val="24"/>
                <w:szCs w:val="24"/>
                <w:highlight w:val="none"/>
                <w:lang w:bidi="ar"/>
              </w:rPr>
              <w:t>2</w:t>
            </w:r>
            <w:r>
              <w:rPr>
                <w:rFonts w:hint="eastAsia" w:ascii="宋体" w:hAnsi="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bidi="ar"/>
              </w:rPr>
              <w:t>在数据导入后，系统进行标准化清洗，去除重复、错误数据，确保数据的准确性和一致性，为后续分析奠定基础。</w:t>
            </w:r>
            <w:r>
              <w:rPr>
                <w:rFonts w:hint="eastAsia" w:ascii="宋体" w:hAnsi="宋体" w:eastAsia="宋体" w:cs="宋体"/>
                <w:color w:val="auto"/>
                <w:kern w:val="0"/>
                <w:sz w:val="24"/>
                <w:szCs w:val="24"/>
                <w:highlight w:val="none"/>
                <w:lang w:bidi="ar"/>
              </w:rPr>
              <w:br w:type="textWrapping"/>
            </w:r>
            <w:r>
              <w:rPr>
                <w:rFonts w:hint="eastAsia" w:ascii="宋体" w:hAnsi="宋体" w:eastAsia="宋体" w:cs="宋体"/>
                <w:color w:val="auto"/>
                <w:kern w:val="0"/>
                <w:sz w:val="24"/>
                <w:szCs w:val="24"/>
                <w:highlight w:val="none"/>
                <w:lang w:bidi="ar"/>
              </w:rPr>
              <w:t>3</w:t>
            </w:r>
            <w:r>
              <w:rPr>
                <w:rFonts w:hint="eastAsia" w:ascii="宋体" w:hAnsi="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bidi="ar"/>
              </w:rPr>
              <w:t>系统支持多源数据融合，支持西安市2025年全国1%人口抽样调查数据、人口普查数据、手机信令数据等多元数据进行关联融合。</w:t>
            </w:r>
            <w:r>
              <w:rPr>
                <w:rFonts w:hint="eastAsia" w:ascii="宋体" w:hAnsi="宋体" w:eastAsia="宋体" w:cs="宋体"/>
                <w:color w:val="auto"/>
                <w:kern w:val="0"/>
                <w:sz w:val="24"/>
                <w:szCs w:val="24"/>
                <w:highlight w:val="none"/>
                <w:lang w:bidi="ar"/>
              </w:rPr>
              <w:br w:type="textWrapping"/>
            </w:r>
            <w:r>
              <w:rPr>
                <w:rFonts w:hint="eastAsia" w:ascii="宋体" w:hAnsi="宋体" w:eastAsia="宋体" w:cs="宋体"/>
                <w:color w:val="auto"/>
                <w:kern w:val="0"/>
                <w:sz w:val="24"/>
                <w:szCs w:val="24"/>
                <w:highlight w:val="none"/>
                <w:lang w:bidi="ar"/>
              </w:rPr>
              <w:t>4</w:t>
            </w:r>
            <w:r>
              <w:rPr>
                <w:rFonts w:hint="eastAsia" w:ascii="宋体" w:hAnsi="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bidi="ar"/>
              </w:rPr>
              <w:t>系统支持统一资源目录构建，支持通过统一的元数据标准构建数据资源目录，对历年积累的人口数据及人口普查资料开发数据进行有序管理，方便查询和分析。</w:t>
            </w:r>
            <w:r>
              <w:rPr>
                <w:rFonts w:hint="eastAsia" w:ascii="宋体" w:hAnsi="宋体" w:eastAsia="宋体" w:cs="宋体"/>
                <w:color w:val="auto"/>
                <w:kern w:val="0"/>
                <w:sz w:val="24"/>
                <w:szCs w:val="24"/>
                <w:highlight w:val="none"/>
                <w:lang w:bidi="ar"/>
              </w:rPr>
              <w:br w:type="textWrapping"/>
            </w:r>
            <w:r>
              <w:rPr>
                <w:rFonts w:hint="eastAsia" w:ascii="宋体" w:hAnsi="宋体" w:eastAsia="宋体" w:cs="宋体"/>
                <w:color w:val="auto"/>
                <w:kern w:val="0"/>
                <w:sz w:val="24"/>
                <w:szCs w:val="24"/>
                <w:highlight w:val="none"/>
                <w:lang w:bidi="ar"/>
              </w:rPr>
              <w:t>5</w:t>
            </w:r>
            <w:r>
              <w:rPr>
                <w:rFonts w:hint="eastAsia" w:ascii="宋体" w:hAnsi="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bidi="ar"/>
              </w:rPr>
              <w:t>系统配置可视化操作界面，支持多语言处理（例如Python、SQL和R），用户可通过简单操作完成复杂的数据处理任务。</w:t>
            </w:r>
            <w:r>
              <w:rPr>
                <w:rFonts w:hint="eastAsia" w:ascii="宋体" w:hAnsi="宋体" w:eastAsia="宋体" w:cs="宋体"/>
                <w:color w:val="auto"/>
                <w:kern w:val="0"/>
                <w:sz w:val="24"/>
                <w:szCs w:val="24"/>
                <w:highlight w:val="none"/>
                <w:lang w:bidi="ar"/>
              </w:rPr>
              <w:br w:type="textWrapping"/>
            </w:r>
            <w:r>
              <w:rPr>
                <w:rFonts w:hint="eastAsia" w:ascii="宋体" w:hAnsi="宋体" w:eastAsia="宋体" w:cs="宋体"/>
                <w:color w:val="auto"/>
                <w:kern w:val="0"/>
                <w:sz w:val="24"/>
                <w:szCs w:val="24"/>
                <w:highlight w:val="none"/>
                <w:lang w:bidi="ar"/>
              </w:rPr>
              <w:t>6</w:t>
            </w:r>
            <w:r>
              <w:rPr>
                <w:rFonts w:hint="eastAsia" w:ascii="宋体" w:hAnsi="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bidi="ar"/>
              </w:rPr>
              <w:t>系统内置人口抽样调查数据处理计算的核心算法，加载相关数据即可立即投入使用。</w:t>
            </w:r>
            <w:r>
              <w:rPr>
                <w:rFonts w:hint="eastAsia" w:ascii="宋体" w:hAnsi="宋体" w:eastAsia="宋体" w:cs="宋体"/>
                <w:color w:val="auto"/>
                <w:kern w:val="0"/>
                <w:sz w:val="24"/>
                <w:szCs w:val="24"/>
                <w:highlight w:val="none"/>
                <w:lang w:bidi="ar"/>
              </w:rPr>
              <w:br w:type="textWrapping"/>
            </w:r>
            <w:r>
              <w:rPr>
                <w:rFonts w:hint="eastAsia" w:ascii="宋体" w:hAnsi="宋体" w:eastAsia="宋体" w:cs="宋体"/>
                <w:color w:val="auto"/>
                <w:kern w:val="0"/>
                <w:sz w:val="24"/>
                <w:szCs w:val="24"/>
                <w:highlight w:val="none"/>
                <w:lang w:bidi="ar"/>
              </w:rPr>
              <w:t>7</w:t>
            </w:r>
            <w:r>
              <w:rPr>
                <w:rFonts w:hint="eastAsia" w:ascii="宋体" w:hAnsi="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bidi="ar"/>
              </w:rPr>
              <w:t>系统支持数据处理流程全链路追溯，能够自动生成数据处理流程，确保每一步处理步骤清晰可见，实现数据处理过程的全链路可追溯，提升数据处理的可靠性。</w:t>
            </w:r>
            <w:r>
              <w:rPr>
                <w:rFonts w:hint="eastAsia" w:ascii="宋体" w:hAnsi="宋体" w:eastAsia="宋体" w:cs="宋体"/>
                <w:color w:val="auto"/>
                <w:kern w:val="0"/>
                <w:sz w:val="24"/>
                <w:szCs w:val="24"/>
                <w:highlight w:val="none"/>
                <w:lang w:bidi="ar"/>
              </w:rPr>
              <w:br w:type="textWrapping"/>
            </w:r>
            <w:r>
              <w:rPr>
                <w:rFonts w:hint="eastAsia" w:ascii="宋体" w:hAnsi="宋体" w:eastAsia="宋体" w:cs="宋体"/>
                <w:color w:val="auto"/>
                <w:kern w:val="0"/>
                <w:sz w:val="24"/>
                <w:szCs w:val="24"/>
                <w:highlight w:val="none"/>
                <w:lang w:bidi="ar"/>
              </w:rPr>
              <w:t>8</w:t>
            </w:r>
            <w:r>
              <w:rPr>
                <w:rFonts w:hint="eastAsia" w:ascii="宋体" w:hAnsi="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bidi="ar"/>
              </w:rPr>
              <w:t>系统内置内嵌国家标准的年鉴模板，基于汇总结果数据可实现一键快速更新，保证出版物符合标准要求。</w:t>
            </w:r>
            <w:r>
              <w:rPr>
                <w:rFonts w:hint="eastAsia" w:ascii="宋体" w:hAnsi="宋体" w:eastAsia="宋体" w:cs="宋体"/>
                <w:color w:val="auto"/>
                <w:kern w:val="0"/>
                <w:sz w:val="24"/>
                <w:szCs w:val="24"/>
                <w:highlight w:val="none"/>
                <w:lang w:bidi="ar"/>
              </w:rPr>
              <w:br w:type="textWrapping"/>
            </w:r>
            <w:r>
              <w:rPr>
                <w:rFonts w:hint="eastAsia" w:ascii="宋体" w:hAnsi="宋体" w:eastAsia="宋体" w:cs="宋体"/>
                <w:color w:val="auto"/>
                <w:kern w:val="0"/>
                <w:sz w:val="24"/>
                <w:szCs w:val="24"/>
                <w:highlight w:val="none"/>
                <w:lang w:bidi="ar"/>
              </w:rPr>
              <w:t>9</w:t>
            </w:r>
            <w:r>
              <w:rPr>
                <w:rFonts w:hint="eastAsia" w:ascii="宋体" w:hAnsi="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bidi="ar"/>
              </w:rPr>
              <w:t>系统配置高效的出版物排版工具，能自动从系统中抓取数据、智能排版布局，并自动执行校对流程，自动生成既符合电子版要求又适宜印刷的出版物版本。</w:t>
            </w:r>
            <w:r>
              <w:rPr>
                <w:rFonts w:hint="eastAsia" w:ascii="宋体" w:hAnsi="宋体" w:eastAsia="宋体" w:cs="宋体"/>
                <w:color w:val="auto"/>
                <w:kern w:val="0"/>
                <w:sz w:val="24"/>
                <w:szCs w:val="24"/>
                <w:highlight w:val="none"/>
                <w:lang w:bidi="ar"/>
              </w:rPr>
              <w:br w:type="textWrapping"/>
            </w:r>
            <w:r>
              <w:rPr>
                <w:rFonts w:hint="eastAsia" w:ascii="宋体" w:hAnsi="宋体" w:eastAsia="宋体" w:cs="宋体"/>
                <w:color w:val="auto"/>
                <w:kern w:val="0"/>
                <w:sz w:val="24"/>
                <w:szCs w:val="24"/>
                <w:highlight w:val="none"/>
                <w:lang w:bidi="ar"/>
              </w:rPr>
              <w:t>10</w:t>
            </w:r>
            <w:r>
              <w:rPr>
                <w:rFonts w:hint="eastAsia" w:ascii="宋体" w:hAnsi="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bidi="ar"/>
              </w:rPr>
              <w:t>系统支持可视化场景分析展示功能，根据人口数据库的数据信息，配置人口结构可视化展现场景，从人口数量、地域分布、男女比例、婚育情况、就业情况、文化程度、年龄段等多维度的关联分析，展示地区人口现状情况；配置人口流动情况可视化展现场景，根据人口数据库的数据信息，从迁入人口、迁出人口、流动人口占比、常住人口、户籍人口等反映人口流动指标对人口流动情况进行展现分析；全量数据动态推演展示，基于1%人口抽样调查数据与历年1‰人口抽样调查数据，可结合运营商信令、公安/民政/教育等部门的动态数据，通过多源数据融合与统计建模，实现全量人口数据的预测分析（涵盖人口趋势预测、人口流动异常预警和老龄化风险预警三大专题）。</w:t>
            </w:r>
          </w:p>
        </w:tc>
      </w:tr>
      <w:tr w14:paraId="3876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426" w:type="pct"/>
            <w:noWrap w:val="0"/>
            <w:vAlign w:val="center"/>
          </w:tcPr>
          <w:p w14:paraId="1D202D31">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w:t>
            </w:r>
          </w:p>
        </w:tc>
        <w:tc>
          <w:tcPr>
            <w:tcW w:w="857" w:type="pct"/>
            <w:noWrap w:val="0"/>
            <w:vAlign w:val="center"/>
          </w:tcPr>
          <w:p w14:paraId="64E2EC5A">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数据处理</w:t>
            </w:r>
          </w:p>
          <w:p w14:paraId="33E0E821">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服务</w:t>
            </w:r>
          </w:p>
        </w:tc>
        <w:tc>
          <w:tcPr>
            <w:tcW w:w="3715" w:type="pct"/>
            <w:noWrap w:val="0"/>
            <w:vAlign w:val="top"/>
          </w:tcPr>
          <w:p w14:paraId="2AB85AFF">
            <w:pPr>
              <w:keepNext w:val="0"/>
              <w:keepLines w:val="0"/>
              <w:pageBreakBefore w:val="0"/>
              <w:widowControl/>
              <w:kinsoku/>
              <w:wordWrap/>
              <w:overflowPunct/>
              <w:topLinePunct w:val="0"/>
              <w:autoSpaceDE/>
              <w:autoSpaceDN/>
              <w:bidi w:val="0"/>
              <w:adjustRightInd/>
              <w:snapToGrid/>
              <w:spacing w:line="360" w:lineRule="auto"/>
              <w:ind w:left="0" w:firstLine="0" w:firstLineChars="0"/>
              <w:jc w:val="left"/>
              <w:textAlignment w:val="top"/>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各供应商根据自身条件，提供数据汇总处理所需要的软件和相关工具，完成数据处理环境搭建，对陕西省统计局下发的西安市2025年全国1%人口抽样调查对象数据进行分析、完成数据整理、清洗加工、数据预审、加载入库等工作。</w:t>
            </w:r>
          </w:p>
        </w:tc>
      </w:tr>
      <w:tr w14:paraId="5F4B8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426" w:type="pct"/>
            <w:noWrap w:val="0"/>
            <w:vAlign w:val="center"/>
          </w:tcPr>
          <w:p w14:paraId="29FE392B">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w:t>
            </w:r>
          </w:p>
        </w:tc>
        <w:tc>
          <w:tcPr>
            <w:tcW w:w="857" w:type="pct"/>
            <w:noWrap w:val="0"/>
            <w:vAlign w:val="center"/>
          </w:tcPr>
          <w:p w14:paraId="372BDDC9">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人口数据库搭建服务</w:t>
            </w:r>
          </w:p>
        </w:tc>
        <w:tc>
          <w:tcPr>
            <w:tcW w:w="3715" w:type="pct"/>
            <w:noWrap w:val="0"/>
            <w:vAlign w:val="top"/>
          </w:tcPr>
          <w:p w14:paraId="426A02A6">
            <w:pPr>
              <w:keepNext w:val="0"/>
              <w:keepLines w:val="0"/>
              <w:pageBreakBefore w:val="0"/>
              <w:widowControl/>
              <w:kinsoku/>
              <w:wordWrap/>
              <w:overflowPunct/>
              <w:topLinePunct w:val="0"/>
              <w:autoSpaceDE/>
              <w:autoSpaceDN/>
              <w:bidi w:val="0"/>
              <w:adjustRightInd/>
              <w:snapToGrid/>
              <w:spacing w:line="360" w:lineRule="auto"/>
              <w:ind w:left="0" w:firstLine="0" w:firstLineChars="0"/>
              <w:jc w:val="left"/>
              <w:textAlignment w:val="top"/>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通过元数据梳理、汇总表数据入库、数据脱敏处理等服务，加载并整理西安市2025年全国1%人口抽样调查数据、普查人口数据等微观数据，对人口微观数据、年鉴汇总进行数据治理，形成本地区特色人口数据库。</w:t>
            </w:r>
          </w:p>
        </w:tc>
      </w:tr>
      <w:tr w14:paraId="4E07F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426" w:type="pct"/>
            <w:noWrap w:val="0"/>
            <w:vAlign w:val="center"/>
          </w:tcPr>
          <w:p w14:paraId="62B844C7">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w:t>
            </w:r>
          </w:p>
        </w:tc>
        <w:tc>
          <w:tcPr>
            <w:tcW w:w="857" w:type="pct"/>
            <w:noWrap w:val="0"/>
            <w:vAlign w:val="center"/>
          </w:tcPr>
          <w:p w14:paraId="46220E90">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资料开发</w:t>
            </w:r>
          </w:p>
          <w:p w14:paraId="4B8E7D15">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服务</w:t>
            </w:r>
          </w:p>
        </w:tc>
        <w:tc>
          <w:tcPr>
            <w:tcW w:w="3715" w:type="pct"/>
            <w:noWrap w:val="0"/>
            <w:vAlign w:val="top"/>
          </w:tcPr>
          <w:p w14:paraId="62851B5B">
            <w:pPr>
              <w:keepNext w:val="0"/>
              <w:keepLines w:val="0"/>
              <w:pageBreakBefore w:val="0"/>
              <w:widowControl/>
              <w:kinsoku/>
              <w:wordWrap/>
              <w:overflowPunct/>
              <w:topLinePunct w:val="0"/>
              <w:autoSpaceDE/>
              <w:autoSpaceDN/>
              <w:bidi w:val="0"/>
              <w:adjustRightInd/>
              <w:snapToGrid/>
              <w:spacing w:line="360" w:lineRule="auto"/>
              <w:ind w:left="0" w:firstLine="0" w:firstLineChars="0"/>
              <w:jc w:val="left"/>
              <w:textAlignment w:val="top"/>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基于西安市2025年全国1%人口抽样调查数据，按照13+1个行政区和20个统计机构的划分，提供超过165张汇总表加工服务，完成《西安市2025年1%人口抽样调查年鉴》核心数据编辑、制作服务。</w:t>
            </w:r>
          </w:p>
        </w:tc>
      </w:tr>
      <w:tr w14:paraId="5998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26" w:type="pct"/>
            <w:noWrap w:val="0"/>
            <w:vAlign w:val="center"/>
          </w:tcPr>
          <w:p w14:paraId="05CB7EFB">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w:t>
            </w:r>
          </w:p>
        </w:tc>
        <w:tc>
          <w:tcPr>
            <w:tcW w:w="857" w:type="pct"/>
            <w:vMerge w:val="restart"/>
            <w:noWrap w:val="0"/>
            <w:vAlign w:val="center"/>
          </w:tcPr>
          <w:p w14:paraId="6A71F68B">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数据汇总</w:t>
            </w:r>
          </w:p>
          <w:p w14:paraId="358ED48E">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服务</w:t>
            </w:r>
          </w:p>
        </w:tc>
        <w:tc>
          <w:tcPr>
            <w:tcW w:w="3715" w:type="pct"/>
            <w:noWrap w:val="0"/>
            <w:vAlign w:val="top"/>
          </w:tcPr>
          <w:p w14:paraId="10383167">
            <w:pPr>
              <w:keepNext w:val="0"/>
              <w:keepLines w:val="0"/>
              <w:pageBreakBefore w:val="0"/>
              <w:widowControl/>
              <w:kinsoku/>
              <w:wordWrap/>
              <w:overflowPunct/>
              <w:topLinePunct w:val="0"/>
              <w:autoSpaceDE/>
              <w:autoSpaceDN/>
              <w:bidi w:val="0"/>
              <w:adjustRightInd/>
              <w:snapToGrid/>
              <w:spacing w:line="360" w:lineRule="auto"/>
              <w:ind w:left="0" w:firstLine="0" w:firstLineChars="0"/>
              <w:jc w:val="left"/>
              <w:textAlignment w:val="top"/>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基于人口数据库，编制数据资源目录，完成治理迁移后的数据查询、汇总和分析等工作，并提供汇总表加工和表样制作服务。</w:t>
            </w:r>
          </w:p>
        </w:tc>
      </w:tr>
      <w:tr w14:paraId="66286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426" w:type="pct"/>
            <w:noWrap w:val="0"/>
            <w:vAlign w:val="center"/>
          </w:tcPr>
          <w:p w14:paraId="063BDE94">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w:t>
            </w:r>
          </w:p>
        </w:tc>
        <w:tc>
          <w:tcPr>
            <w:tcW w:w="857" w:type="pct"/>
            <w:vMerge w:val="continue"/>
            <w:noWrap w:val="0"/>
            <w:vAlign w:val="center"/>
          </w:tcPr>
          <w:p w14:paraId="5937BA95">
            <w:pPr>
              <w:keepNext w:val="0"/>
              <w:keepLines w:val="0"/>
              <w:pageBreakBefore w:val="0"/>
              <w:kinsoku/>
              <w:wordWrap/>
              <w:overflowPunct/>
              <w:topLinePunct w:val="0"/>
              <w:autoSpaceDE/>
              <w:autoSpaceDN/>
              <w:bidi w:val="0"/>
              <w:adjustRightInd/>
              <w:snapToGrid/>
              <w:spacing w:line="360" w:lineRule="auto"/>
              <w:ind w:left="0" w:firstLine="0" w:firstLineChars="0"/>
              <w:jc w:val="center"/>
              <w:rPr>
                <w:rFonts w:hint="eastAsia" w:ascii="宋体" w:hAnsi="宋体" w:eastAsia="宋体" w:cs="宋体"/>
                <w:color w:val="auto"/>
                <w:sz w:val="24"/>
                <w:szCs w:val="24"/>
                <w:highlight w:val="none"/>
              </w:rPr>
            </w:pPr>
          </w:p>
        </w:tc>
        <w:tc>
          <w:tcPr>
            <w:tcW w:w="3715" w:type="pct"/>
            <w:noWrap w:val="0"/>
            <w:vAlign w:val="top"/>
          </w:tcPr>
          <w:p w14:paraId="72646D51">
            <w:pPr>
              <w:keepNext w:val="0"/>
              <w:keepLines w:val="0"/>
              <w:pageBreakBefore w:val="0"/>
              <w:widowControl/>
              <w:kinsoku/>
              <w:wordWrap/>
              <w:overflowPunct/>
              <w:topLinePunct w:val="0"/>
              <w:autoSpaceDE/>
              <w:autoSpaceDN/>
              <w:bidi w:val="0"/>
              <w:adjustRightInd/>
              <w:snapToGrid/>
              <w:spacing w:line="360" w:lineRule="auto"/>
              <w:ind w:left="0" w:firstLine="0" w:firstLineChars="0"/>
              <w:jc w:val="left"/>
              <w:textAlignment w:val="top"/>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基于西安市2025年全国1%人口抽样调查数据，完成对调查登记的人口数量、分布和主要结构进行加权汇总，完成发布公报的基础数据服务。</w:t>
            </w:r>
          </w:p>
        </w:tc>
      </w:tr>
      <w:tr w14:paraId="3FE58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426" w:type="pct"/>
            <w:noWrap w:val="0"/>
            <w:vAlign w:val="center"/>
          </w:tcPr>
          <w:p w14:paraId="0442236D">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w:t>
            </w:r>
          </w:p>
        </w:tc>
        <w:tc>
          <w:tcPr>
            <w:tcW w:w="857" w:type="pct"/>
            <w:vMerge w:val="continue"/>
            <w:noWrap w:val="0"/>
            <w:vAlign w:val="center"/>
          </w:tcPr>
          <w:p w14:paraId="2C4F2D52">
            <w:pPr>
              <w:keepNext w:val="0"/>
              <w:keepLines w:val="0"/>
              <w:pageBreakBefore w:val="0"/>
              <w:kinsoku/>
              <w:wordWrap/>
              <w:overflowPunct/>
              <w:topLinePunct w:val="0"/>
              <w:autoSpaceDE/>
              <w:autoSpaceDN/>
              <w:bidi w:val="0"/>
              <w:adjustRightInd/>
              <w:snapToGrid/>
              <w:spacing w:line="360" w:lineRule="auto"/>
              <w:ind w:left="0" w:firstLine="0" w:firstLineChars="0"/>
              <w:jc w:val="center"/>
              <w:rPr>
                <w:rFonts w:hint="eastAsia" w:ascii="宋体" w:hAnsi="宋体" w:eastAsia="宋体" w:cs="宋体"/>
                <w:color w:val="auto"/>
                <w:sz w:val="24"/>
                <w:szCs w:val="24"/>
                <w:highlight w:val="none"/>
              </w:rPr>
            </w:pPr>
          </w:p>
        </w:tc>
        <w:tc>
          <w:tcPr>
            <w:tcW w:w="3715" w:type="pct"/>
            <w:noWrap w:val="0"/>
            <w:vAlign w:val="top"/>
          </w:tcPr>
          <w:p w14:paraId="1FD5A6E2">
            <w:pPr>
              <w:keepNext w:val="0"/>
              <w:keepLines w:val="0"/>
              <w:pageBreakBefore w:val="0"/>
              <w:widowControl/>
              <w:kinsoku/>
              <w:wordWrap/>
              <w:overflowPunct/>
              <w:topLinePunct w:val="0"/>
              <w:autoSpaceDE/>
              <w:autoSpaceDN/>
              <w:bidi w:val="0"/>
              <w:adjustRightInd/>
              <w:snapToGrid/>
              <w:spacing w:line="360" w:lineRule="auto"/>
              <w:ind w:left="0" w:firstLine="0" w:firstLineChars="0"/>
              <w:jc w:val="left"/>
              <w:textAlignment w:val="top"/>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基于第七次全国人口普查基层数据和西安市2025年全国1%人口抽样调查数据，完成人口规模预测、人口寿命预测等预测分析服务。</w:t>
            </w:r>
          </w:p>
        </w:tc>
      </w:tr>
      <w:tr w14:paraId="0CEC3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426" w:type="pct"/>
            <w:noWrap w:val="0"/>
            <w:vAlign w:val="center"/>
          </w:tcPr>
          <w:p w14:paraId="6C0AF28C">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8</w:t>
            </w:r>
          </w:p>
        </w:tc>
        <w:tc>
          <w:tcPr>
            <w:tcW w:w="857" w:type="pct"/>
            <w:vMerge w:val="continue"/>
            <w:noWrap w:val="0"/>
            <w:vAlign w:val="center"/>
          </w:tcPr>
          <w:p w14:paraId="3A56C996">
            <w:pPr>
              <w:keepNext w:val="0"/>
              <w:keepLines w:val="0"/>
              <w:pageBreakBefore w:val="0"/>
              <w:kinsoku/>
              <w:wordWrap/>
              <w:overflowPunct/>
              <w:topLinePunct w:val="0"/>
              <w:autoSpaceDE/>
              <w:autoSpaceDN/>
              <w:bidi w:val="0"/>
              <w:adjustRightInd/>
              <w:snapToGrid/>
              <w:spacing w:line="360" w:lineRule="auto"/>
              <w:ind w:left="0" w:firstLine="0" w:firstLineChars="0"/>
              <w:jc w:val="center"/>
              <w:rPr>
                <w:rFonts w:hint="eastAsia" w:ascii="宋体" w:hAnsi="宋体" w:eastAsia="宋体" w:cs="宋体"/>
                <w:color w:val="auto"/>
                <w:sz w:val="24"/>
                <w:szCs w:val="24"/>
                <w:highlight w:val="none"/>
              </w:rPr>
            </w:pPr>
          </w:p>
        </w:tc>
        <w:tc>
          <w:tcPr>
            <w:tcW w:w="3715" w:type="pct"/>
            <w:noWrap w:val="0"/>
            <w:vAlign w:val="top"/>
          </w:tcPr>
          <w:p w14:paraId="3365EFDF">
            <w:pPr>
              <w:keepNext w:val="0"/>
              <w:keepLines w:val="0"/>
              <w:pageBreakBefore w:val="0"/>
              <w:widowControl/>
              <w:kinsoku/>
              <w:wordWrap/>
              <w:overflowPunct/>
              <w:topLinePunct w:val="0"/>
              <w:autoSpaceDE/>
              <w:autoSpaceDN/>
              <w:bidi w:val="0"/>
              <w:adjustRightInd/>
              <w:snapToGrid/>
              <w:spacing w:line="360" w:lineRule="auto"/>
              <w:ind w:left="0" w:firstLine="0" w:firstLineChars="0"/>
              <w:jc w:val="left"/>
              <w:textAlignment w:val="top"/>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基于西安市2025年全国1%人口抽样调查数据，按照13+1个行政区和20个统计机构的划分，加权完成全口径数据的分析服务，加工完成省外人口流入、流出分析、省内市外人口流入、流出分析等流动人口分析服务，加工完成按照性别、年龄（段）、受教育程度、民族等指标的全口径人口数据分析服务。</w:t>
            </w:r>
          </w:p>
        </w:tc>
      </w:tr>
      <w:tr w14:paraId="444C7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26" w:type="pct"/>
            <w:noWrap w:val="0"/>
            <w:vAlign w:val="center"/>
          </w:tcPr>
          <w:p w14:paraId="25272A59">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9</w:t>
            </w:r>
          </w:p>
        </w:tc>
        <w:tc>
          <w:tcPr>
            <w:tcW w:w="857" w:type="pct"/>
            <w:vMerge w:val="continue"/>
            <w:noWrap w:val="0"/>
            <w:vAlign w:val="center"/>
          </w:tcPr>
          <w:p w14:paraId="60BB4DC2">
            <w:pPr>
              <w:keepNext w:val="0"/>
              <w:keepLines w:val="0"/>
              <w:pageBreakBefore w:val="0"/>
              <w:kinsoku/>
              <w:wordWrap/>
              <w:overflowPunct/>
              <w:topLinePunct w:val="0"/>
              <w:autoSpaceDE/>
              <w:autoSpaceDN/>
              <w:bidi w:val="0"/>
              <w:adjustRightInd/>
              <w:snapToGrid/>
              <w:spacing w:line="360" w:lineRule="auto"/>
              <w:ind w:left="0" w:firstLine="0" w:firstLineChars="0"/>
              <w:jc w:val="center"/>
              <w:rPr>
                <w:rFonts w:hint="eastAsia" w:ascii="宋体" w:hAnsi="宋体" w:eastAsia="宋体" w:cs="宋体"/>
                <w:color w:val="auto"/>
                <w:sz w:val="24"/>
                <w:szCs w:val="24"/>
                <w:highlight w:val="none"/>
              </w:rPr>
            </w:pPr>
          </w:p>
        </w:tc>
        <w:tc>
          <w:tcPr>
            <w:tcW w:w="3715" w:type="pct"/>
            <w:noWrap w:val="0"/>
            <w:vAlign w:val="center"/>
          </w:tcPr>
          <w:p w14:paraId="2BFAF62B">
            <w:pPr>
              <w:keepNext w:val="0"/>
              <w:keepLines w:val="0"/>
              <w:pageBreakBefore w:val="0"/>
              <w:widowControl/>
              <w:kinsoku/>
              <w:wordWrap/>
              <w:overflowPunct/>
              <w:topLinePunct w:val="0"/>
              <w:autoSpaceDE/>
              <w:autoSpaceDN/>
              <w:bidi w:val="0"/>
              <w:adjustRightInd/>
              <w:snapToGrid/>
              <w:spacing w:line="360" w:lineRule="auto"/>
              <w:ind w:left="0" w:firstLine="0" w:firstLineChars="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基于西安市2025年全国1%人口抽样调查数据，按照高学历人才指标、流动人口年龄段、人口密度等指标完成分析服务。</w:t>
            </w:r>
          </w:p>
        </w:tc>
      </w:tr>
      <w:tr w14:paraId="0062F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26" w:type="pct"/>
            <w:noWrap w:val="0"/>
            <w:vAlign w:val="center"/>
          </w:tcPr>
          <w:p w14:paraId="2CC2A441">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w:t>
            </w:r>
          </w:p>
        </w:tc>
        <w:tc>
          <w:tcPr>
            <w:tcW w:w="857" w:type="pct"/>
            <w:vMerge w:val="continue"/>
            <w:noWrap w:val="0"/>
            <w:vAlign w:val="center"/>
          </w:tcPr>
          <w:p w14:paraId="0AEE155D">
            <w:pPr>
              <w:keepNext w:val="0"/>
              <w:keepLines w:val="0"/>
              <w:pageBreakBefore w:val="0"/>
              <w:kinsoku/>
              <w:wordWrap/>
              <w:overflowPunct/>
              <w:topLinePunct w:val="0"/>
              <w:autoSpaceDE/>
              <w:autoSpaceDN/>
              <w:bidi w:val="0"/>
              <w:adjustRightInd/>
              <w:snapToGrid/>
              <w:spacing w:line="360" w:lineRule="auto"/>
              <w:ind w:left="0" w:firstLine="0" w:firstLineChars="0"/>
              <w:jc w:val="center"/>
              <w:rPr>
                <w:rFonts w:hint="eastAsia" w:ascii="宋体" w:hAnsi="宋体" w:eastAsia="宋体" w:cs="宋体"/>
                <w:color w:val="auto"/>
                <w:sz w:val="24"/>
                <w:szCs w:val="24"/>
                <w:highlight w:val="none"/>
              </w:rPr>
            </w:pPr>
          </w:p>
        </w:tc>
        <w:tc>
          <w:tcPr>
            <w:tcW w:w="3715" w:type="pct"/>
            <w:noWrap w:val="0"/>
            <w:vAlign w:val="center"/>
          </w:tcPr>
          <w:p w14:paraId="5A7D466E">
            <w:pPr>
              <w:keepNext w:val="0"/>
              <w:keepLines w:val="0"/>
              <w:pageBreakBefore w:val="0"/>
              <w:widowControl/>
              <w:kinsoku/>
              <w:wordWrap/>
              <w:overflowPunct/>
              <w:topLinePunct w:val="0"/>
              <w:autoSpaceDE/>
              <w:autoSpaceDN/>
              <w:bidi w:val="0"/>
              <w:adjustRightInd/>
              <w:snapToGrid/>
              <w:spacing w:line="360" w:lineRule="auto"/>
              <w:ind w:left="0" w:firstLine="0" w:firstLineChars="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基于2025年1%人口抽样数据加权完成全口径的数据，按照行业门类划分完成人口数据加工分析服务。</w:t>
            </w:r>
          </w:p>
        </w:tc>
      </w:tr>
      <w:tr w14:paraId="0DF31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426" w:type="pct"/>
            <w:noWrap w:val="0"/>
            <w:vAlign w:val="center"/>
          </w:tcPr>
          <w:p w14:paraId="0FB78B93">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11</w:t>
            </w:r>
          </w:p>
        </w:tc>
        <w:tc>
          <w:tcPr>
            <w:tcW w:w="857" w:type="pct"/>
            <w:vMerge w:val="continue"/>
            <w:noWrap w:val="0"/>
            <w:vAlign w:val="center"/>
          </w:tcPr>
          <w:p w14:paraId="29D07182">
            <w:pPr>
              <w:keepNext w:val="0"/>
              <w:keepLines w:val="0"/>
              <w:pageBreakBefore w:val="0"/>
              <w:kinsoku/>
              <w:wordWrap/>
              <w:overflowPunct/>
              <w:topLinePunct w:val="0"/>
              <w:autoSpaceDE/>
              <w:autoSpaceDN/>
              <w:bidi w:val="0"/>
              <w:adjustRightInd/>
              <w:snapToGrid/>
              <w:spacing w:line="360" w:lineRule="auto"/>
              <w:ind w:left="0" w:firstLine="0" w:firstLineChars="0"/>
              <w:jc w:val="center"/>
              <w:rPr>
                <w:rFonts w:hint="eastAsia" w:ascii="宋体" w:hAnsi="宋体" w:eastAsia="宋体" w:cs="宋体"/>
                <w:color w:val="auto"/>
                <w:sz w:val="24"/>
                <w:szCs w:val="24"/>
                <w:highlight w:val="none"/>
              </w:rPr>
            </w:pPr>
          </w:p>
        </w:tc>
        <w:tc>
          <w:tcPr>
            <w:tcW w:w="3715" w:type="pct"/>
            <w:noWrap w:val="0"/>
            <w:vAlign w:val="center"/>
          </w:tcPr>
          <w:p w14:paraId="0647A0E3">
            <w:pPr>
              <w:keepNext w:val="0"/>
              <w:keepLines w:val="0"/>
              <w:pageBreakBefore w:val="0"/>
              <w:widowControl/>
              <w:kinsoku/>
              <w:wordWrap/>
              <w:overflowPunct/>
              <w:topLinePunct w:val="0"/>
              <w:autoSpaceDE/>
              <w:autoSpaceDN/>
              <w:bidi w:val="0"/>
              <w:adjustRightInd/>
              <w:snapToGrid/>
              <w:spacing w:line="360" w:lineRule="auto"/>
              <w:ind w:left="0" w:firstLine="0" w:firstLineChars="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运用西安市2025年全国1%人口抽样调查数据和人口普查相关数据，根据需要，对人口数量、地域分布、男女比例、婚育情况、就业情况、文化程度、年龄段等指标数据进行汇总并进行关联分析。</w:t>
            </w:r>
          </w:p>
        </w:tc>
      </w:tr>
      <w:tr w14:paraId="0943E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426" w:type="pct"/>
            <w:noWrap w:val="0"/>
            <w:vAlign w:val="center"/>
          </w:tcPr>
          <w:p w14:paraId="0B00BC56">
            <w:pPr>
              <w:keepNext w:val="0"/>
              <w:keepLines w:val="0"/>
              <w:pageBreakBefore w:val="0"/>
              <w:widowControl/>
              <w:kinsoku/>
              <w:wordWrap/>
              <w:overflowPunct/>
              <w:topLinePunct w:val="0"/>
              <w:autoSpaceDE/>
              <w:autoSpaceDN/>
              <w:bidi w:val="0"/>
              <w:adjustRightInd/>
              <w:snapToGrid/>
              <w:spacing w:line="360" w:lineRule="auto"/>
              <w:ind w:left="0" w:firstLine="0" w:firstLineChars="0"/>
              <w:jc w:val="left"/>
              <w:textAlignment w:val="center"/>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12</w:t>
            </w:r>
          </w:p>
        </w:tc>
        <w:tc>
          <w:tcPr>
            <w:tcW w:w="857" w:type="pct"/>
            <w:vMerge w:val="continue"/>
            <w:noWrap w:val="0"/>
            <w:vAlign w:val="center"/>
          </w:tcPr>
          <w:p w14:paraId="61292F83">
            <w:pPr>
              <w:keepNext w:val="0"/>
              <w:keepLines w:val="0"/>
              <w:pageBreakBefore w:val="0"/>
              <w:widowControl/>
              <w:kinsoku/>
              <w:wordWrap/>
              <w:overflowPunct/>
              <w:topLinePunct w:val="0"/>
              <w:autoSpaceDE/>
              <w:autoSpaceDN/>
              <w:bidi w:val="0"/>
              <w:adjustRightInd/>
              <w:snapToGrid/>
              <w:spacing w:line="360" w:lineRule="auto"/>
              <w:ind w:left="0" w:firstLine="0" w:firstLineChars="0"/>
              <w:jc w:val="left"/>
              <w:textAlignment w:val="center"/>
              <w:rPr>
                <w:rFonts w:hint="eastAsia" w:ascii="宋体" w:hAnsi="宋体" w:eastAsia="宋体" w:cs="宋体"/>
                <w:color w:val="auto"/>
                <w:kern w:val="0"/>
                <w:sz w:val="24"/>
                <w:szCs w:val="24"/>
                <w:highlight w:val="none"/>
                <w:lang w:bidi="ar"/>
              </w:rPr>
            </w:pPr>
          </w:p>
        </w:tc>
        <w:tc>
          <w:tcPr>
            <w:tcW w:w="3715" w:type="pct"/>
            <w:noWrap w:val="0"/>
            <w:vAlign w:val="center"/>
          </w:tcPr>
          <w:p w14:paraId="511291B4">
            <w:pPr>
              <w:keepNext w:val="0"/>
              <w:keepLines w:val="0"/>
              <w:pageBreakBefore w:val="0"/>
              <w:widowControl/>
              <w:kinsoku/>
              <w:wordWrap/>
              <w:overflowPunct/>
              <w:topLinePunct w:val="0"/>
              <w:autoSpaceDE/>
              <w:autoSpaceDN/>
              <w:bidi w:val="0"/>
              <w:adjustRightInd/>
              <w:snapToGrid/>
              <w:spacing w:line="360" w:lineRule="auto"/>
              <w:ind w:left="0" w:firstLine="0" w:firstLineChars="0"/>
              <w:jc w:val="left"/>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eastAsia="zh-CN" w:bidi="ar"/>
              </w:rPr>
              <w:t>其他数据需求服务</w:t>
            </w:r>
          </w:p>
        </w:tc>
      </w:tr>
    </w:tbl>
    <w:p w14:paraId="45A36A33">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kern w:val="2"/>
          <w:sz w:val="24"/>
          <w:szCs w:val="24"/>
          <w:highlight w:val="none"/>
          <w:lang w:val="en-US" w:eastAsia="zh-CN" w:bidi="ar-SA"/>
        </w:rPr>
        <w:t>4.</w:t>
      </w:r>
      <w:r>
        <w:rPr>
          <w:rFonts w:hint="eastAsia" w:ascii="宋体" w:hAnsi="宋体" w:eastAsia="宋体" w:cs="宋体"/>
          <w:b/>
          <w:color w:val="auto"/>
          <w:sz w:val="24"/>
          <w:szCs w:val="24"/>
          <w:highlight w:val="none"/>
          <w:lang w:val="en-US" w:eastAsia="zh-CN"/>
        </w:rPr>
        <w:t>实施进度</w:t>
      </w:r>
      <w:r>
        <w:rPr>
          <w:rFonts w:hint="eastAsia" w:ascii="宋体" w:hAnsi="宋体" w:cs="宋体"/>
          <w:b/>
          <w:color w:val="auto"/>
          <w:sz w:val="24"/>
          <w:szCs w:val="24"/>
          <w:highlight w:val="none"/>
          <w:lang w:val="en-US" w:eastAsia="zh-CN"/>
        </w:rPr>
        <w:t>要求</w:t>
      </w:r>
    </w:p>
    <w:p w14:paraId="0C62FB04">
      <w:pPr>
        <w:keepNext w:val="0"/>
        <w:keepLines w:val="0"/>
        <w:pageBreakBefore w:val="0"/>
        <w:kinsoku/>
        <w:wordWrap/>
        <w:overflowPunct/>
        <w:topLinePunct w:val="0"/>
        <w:autoSpaceDE/>
        <w:autoSpaceDN/>
        <w:bidi w:val="0"/>
        <w:adjustRightInd/>
        <w:snapToGrid/>
        <w:spacing w:line="360" w:lineRule="auto"/>
        <w:ind w:left="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 合同签订之日起15个工作日内，完成1%人口数据入库处理工作、数据资源目录编制和1%人口数据库搭建服务，方便数据存储和管理；</w:t>
      </w:r>
    </w:p>
    <w:p w14:paraId="0EEB8D2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4.2. 2026年7月，完成西安市2025年1%人口抽样调查公报主要数据汇总加工服务，为本级机构发布数据提供数据开发服务支撑；</w:t>
      </w:r>
    </w:p>
    <w:p w14:paraId="19DA25A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4.3. 2026年8月，完成完成西安市2025年1%人口抽样调查年鉴资料开发工作（13+1块行政区和20块统计机构）；</w:t>
      </w:r>
    </w:p>
    <w:p w14:paraId="54B9729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4.4. 2026年9月-2027年5月，按照13+1块行政区和20块统计机构完成其他相关的资料开发服务。其中包含但不限于完成人口规模预测和人口寿命预测的数据预测分析、人口流动情况分析、高学历指标、流动人口年龄段、人口密度分析、人口总量、地域分布、男女比例、婚育情况、就业情况、年龄段情况、课题组数据支撑等数据分析和相关资料开发，以及其他数据需求，实现完成全部数据汇总工作，确保全市调查数据完整准确的工作目标。</w:t>
      </w:r>
    </w:p>
    <w:p w14:paraId="2A3C6C17">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kern w:val="2"/>
          <w:sz w:val="24"/>
          <w:szCs w:val="24"/>
          <w:highlight w:val="none"/>
          <w:lang w:val="en-US" w:eastAsia="zh-CN" w:bidi="ar-SA"/>
        </w:rPr>
        <w:t>5.</w:t>
      </w:r>
      <w:r>
        <w:rPr>
          <w:rFonts w:hint="eastAsia" w:ascii="宋体" w:hAnsi="宋体" w:eastAsia="宋体" w:cs="宋体"/>
          <w:b/>
          <w:color w:val="auto"/>
          <w:sz w:val="24"/>
          <w:szCs w:val="24"/>
          <w:highlight w:val="none"/>
          <w:lang w:val="en-US" w:eastAsia="zh-CN"/>
        </w:rPr>
        <w:t>数据验收</w:t>
      </w:r>
    </w:p>
    <w:p w14:paraId="24CD934B">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olor w:val="auto"/>
          <w:highlight w:val="none"/>
        </w:rPr>
      </w:pPr>
      <w:r>
        <w:rPr>
          <w:rFonts w:hint="eastAsia" w:ascii="宋体" w:hAnsi="宋体" w:eastAsia="宋体" w:cs="宋体"/>
          <w:color w:val="auto"/>
          <w:sz w:val="24"/>
          <w:szCs w:val="24"/>
          <w:highlight w:val="none"/>
          <w:lang w:val="en-US" w:eastAsia="zh-CN"/>
        </w:rPr>
        <w:t>2027年5月，完成项目实施阶段所有资料开发工作，具体以资料开发清单汇总统计，所有原始数据和资料开发成果均存放于人口数据库当中，验收组可结合资料开发清单汇总表、实地查看人口数据库原始数据和资料开发成果对项目开展验收工作。</w:t>
      </w:r>
    </w:p>
    <w:p w14:paraId="40A7409A">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服务费用及支付方式</w:t>
      </w:r>
    </w:p>
    <w:p w14:paraId="7900768F">
      <w:pPr>
        <w:keepNext w:val="0"/>
        <w:keepLines w:val="0"/>
        <w:pageBreakBefore w:val="0"/>
        <w:widowControl w:val="0"/>
        <w:kinsoku/>
        <w:wordWrap w:val="0"/>
        <w:overflowPunct/>
        <w:topLinePunct w:val="0"/>
        <w:autoSpaceDE/>
        <w:autoSpaceDN/>
        <w:bidi w:val="0"/>
        <w:adjustRightInd w:val="0"/>
        <w:snapToGrid w:val="0"/>
        <w:spacing w:line="351" w:lineRule="auto"/>
        <w:ind w:firstLine="480" w:firstLineChars="200"/>
        <w:textAlignment w:val="auto"/>
        <w:rPr>
          <w:rFonts w:ascii="宋体" w:hAnsi="宋体" w:eastAsia="宋体" w:cs="宋体"/>
          <w:kern w:val="28"/>
          <w:sz w:val="24"/>
          <w:highlight w:val="none"/>
        </w:rPr>
      </w:pPr>
      <w:r>
        <w:rPr>
          <w:rFonts w:hint="eastAsia" w:ascii="宋体" w:hAnsi="宋体" w:eastAsia="宋体" w:cs="宋体"/>
          <w:kern w:val="28"/>
          <w:sz w:val="24"/>
          <w:highlight w:val="none"/>
          <w:lang w:val="en-US" w:eastAsia="zh-CN"/>
        </w:rPr>
        <w:t>服务费用为：</w:t>
      </w:r>
      <w:r>
        <w:rPr>
          <w:rFonts w:hint="eastAsia" w:ascii="宋体" w:hAnsi="宋体" w:eastAsia="宋体" w:cs="宋体"/>
          <w:bCs/>
          <w:kern w:val="28"/>
          <w:sz w:val="24"/>
          <w:highlight w:val="none"/>
        </w:rPr>
        <w:t>大写人民币：</w:t>
      </w:r>
      <w:r>
        <w:rPr>
          <w:rFonts w:hint="eastAsia" w:ascii="宋体" w:hAnsi="宋体" w:eastAsia="宋体" w:cs="宋体"/>
          <w:bCs/>
          <w:kern w:val="28"/>
          <w:sz w:val="24"/>
          <w:highlight w:val="none"/>
          <w:u w:val="single"/>
        </w:rPr>
        <w:t xml:space="preserve">             </w:t>
      </w:r>
      <w:r>
        <w:rPr>
          <w:rFonts w:hint="eastAsia" w:ascii="宋体" w:hAnsi="宋体" w:eastAsia="宋体" w:cs="宋体"/>
          <w:bCs/>
          <w:kern w:val="28"/>
          <w:sz w:val="24"/>
          <w:highlight w:val="none"/>
          <w:u w:val="none"/>
          <w:lang w:eastAsia="zh-CN"/>
        </w:rPr>
        <w:t>；</w:t>
      </w:r>
      <w:r>
        <w:rPr>
          <w:rFonts w:hint="eastAsia" w:ascii="宋体" w:hAnsi="宋体" w:eastAsia="宋体" w:cs="宋体"/>
          <w:bCs/>
          <w:kern w:val="28"/>
          <w:sz w:val="24"/>
          <w:highlight w:val="none"/>
        </w:rPr>
        <w:t>小写RMB ￥：</w:t>
      </w:r>
      <w:r>
        <w:rPr>
          <w:rFonts w:hint="eastAsia" w:ascii="宋体" w:hAnsi="宋体" w:eastAsia="宋体" w:cs="宋体"/>
          <w:bCs/>
          <w:kern w:val="28"/>
          <w:sz w:val="24"/>
          <w:highlight w:val="none"/>
          <w:u w:val="single"/>
        </w:rPr>
        <w:t xml:space="preserve">             </w:t>
      </w:r>
      <w:r>
        <w:rPr>
          <w:rFonts w:hint="eastAsia" w:ascii="宋体" w:hAnsi="宋体" w:eastAsia="宋体" w:cs="宋体"/>
          <w:bCs/>
          <w:kern w:val="28"/>
          <w:sz w:val="24"/>
          <w:highlight w:val="none"/>
          <w:u w:val="none"/>
          <w:lang w:eastAsia="zh-CN"/>
        </w:rPr>
        <w:t>。</w:t>
      </w:r>
    </w:p>
    <w:p w14:paraId="7B4F9F55">
      <w:pPr>
        <w:pStyle w:val="10"/>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color w:val="auto"/>
          <w:sz w:val="24"/>
          <w:highlight w:val="none"/>
        </w:rPr>
        <w:t>合同签订后</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0日内，支付合同总价的70%；待所有服务完成并经验收合格后30日内，支付剩余合同总价的30%</w:t>
      </w:r>
      <w:r>
        <w:rPr>
          <w:rFonts w:hint="eastAsia" w:ascii="宋体" w:hAnsi="宋体" w:eastAsia="宋体" w:cs="宋体"/>
          <w:color w:val="auto"/>
          <w:kern w:val="2"/>
          <w:sz w:val="24"/>
          <w:szCs w:val="24"/>
          <w:highlight w:val="none"/>
          <w:lang w:val="en-US" w:eastAsia="zh-CN" w:bidi="ar-SA"/>
        </w:rPr>
        <w:t>。采购人向成交供应商付款前，成交供应商应向采购人开具符合采购人要求的发票，若因成交供应商未开具或逾期开具合法有效的发票，采购人有权顺延付款期限且不承担逾期付款责任。</w:t>
      </w:r>
    </w:p>
    <w:p w14:paraId="7E8D4A05">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知识产权</w:t>
      </w:r>
    </w:p>
    <w:p w14:paraId="4517B12E">
      <w:pPr>
        <w:keepNext w:val="0"/>
        <w:keepLines w:val="0"/>
        <w:pageBreakBefore w:val="0"/>
        <w:widowControl w:val="0"/>
        <w:numPr>
          <w:ilvl w:val="0"/>
          <w:numId w:val="0"/>
        </w:numPr>
        <w:tabs>
          <w:tab w:val="left" w:pos="1440"/>
        </w:tabs>
        <w:kinsoku/>
        <w:wordWrap/>
        <w:overflowPunct/>
        <w:topLinePunct w:val="0"/>
        <w:autoSpaceDE/>
        <w:autoSpaceDN/>
        <w:bidi w:val="0"/>
        <w:adjustRightInd w:val="0"/>
        <w:snapToGrid w:val="0"/>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乙方应保证所提供的服务或其任何一部分均不会侵犯任何第三方的专利权、商标权或著作权</w:t>
      </w:r>
      <w:r>
        <w:rPr>
          <w:rFonts w:hint="eastAsia" w:ascii="宋体" w:hAnsi="宋体" w:eastAsia="宋体" w:cs="宋体"/>
          <w:sz w:val="24"/>
          <w:szCs w:val="24"/>
          <w:highlight w:val="none"/>
          <w:lang w:eastAsia="zh-CN"/>
        </w:rPr>
        <w:t>等知识产权</w:t>
      </w:r>
      <w:r>
        <w:rPr>
          <w:rFonts w:hint="eastAsia" w:ascii="宋体" w:hAnsi="宋体" w:eastAsia="宋体" w:cs="宋体"/>
          <w:sz w:val="24"/>
          <w:szCs w:val="24"/>
          <w:highlight w:val="none"/>
        </w:rPr>
        <w:t>。</w:t>
      </w:r>
    </w:p>
    <w:p w14:paraId="6CC865B4">
      <w:pPr>
        <w:keepNext w:val="0"/>
        <w:keepLines w:val="0"/>
        <w:pageBreakBefore w:val="0"/>
        <w:widowControl w:val="0"/>
        <w:numPr>
          <w:ilvl w:val="0"/>
          <w:numId w:val="0"/>
        </w:numPr>
        <w:tabs>
          <w:tab w:val="left" w:pos="1440"/>
        </w:tabs>
        <w:kinsoku/>
        <w:wordWrap/>
        <w:overflowPunct/>
        <w:topLinePunct w:val="0"/>
        <w:autoSpaceDE/>
        <w:autoSpaceDN/>
        <w:bidi w:val="0"/>
        <w:adjustRightInd w:val="0"/>
        <w:snapToGrid w:val="0"/>
        <w:spacing w:line="360" w:lineRule="auto"/>
        <w:ind w:leftChars="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2.乙方违反知识产权相关约定导致第三方向甲方追究责任或给甲方带来损失的，由乙方承担全部责任。</w:t>
      </w:r>
    </w:p>
    <w:p w14:paraId="46F7A815">
      <w:pPr>
        <w:keepNext w:val="0"/>
        <w:keepLines w:val="0"/>
        <w:pageBreakBefore w:val="0"/>
        <w:widowControl w:val="0"/>
        <w:numPr>
          <w:ilvl w:val="0"/>
          <w:numId w:val="0"/>
        </w:numPr>
        <w:tabs>
          <w:tab w:val="left" w:pos="1440"/>
        </w:tabs>
        <w:kinsoku/>
        <w:wordWrap/>
        <w:overflowPunct/>
        <w:topLinePunct w:val="0"/>
        <w:autoSpaceDE/>
        <w:autoSpaceDN/>
        <w:bidi w:val="0"/>
        <w:adjustRightInd w:val="0"/>
        <w:snapToGrid w:val="0"/>
        <w:spacing w:line="360" w:lineRule="auto"/>
        <w:ind w:leftChars="0"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乙方应采取一切必要措施，对因履行本合同而从甲方取得的关于对方及其关联方的一切资料、机密、商业秘密或专有的数据或信息等保密信息采取保密措施，以防止保密信息被泄露、使用、被公开或向未经授权人士披露。未经甲方书面同意，不得向任何第三方公开或擅自使用、泄露等，乙方违约的，甲方有权解除合同并要求乙方支付服务费用20%的违约金。</w:t>
      </w:r>
    </w:p>
    <w:p w14:paraId="2CFED5AA">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无产权瑕疵条款</w:t>
      </w:r>
    </w:p>
    <w:p w14:paraId="70845056">
      <w:pPr>
        <w:keepNext w:val="0"/>
        <w:keepLines w:val="0"/>
        <w:pageBreakBefore w:val="0"/>
        <w:widowControl w:val="0"/>
        <w:tabs>
          <w:tab w:val="left" w:pos="1440"/>
        </w:tabs>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乙方保证所提供的服务的所有权完全属于乙方且无任何抵押、查封等产权瑕疵。如有产权瑕疵的，视为乙方违约。乙方应负担由此而产生的一切损失。</w:t>
      </w:r>
    </w:p>
    <w:p w14:paraId="7847413C">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履约保证金</w:t>
      </w:r>
    </w:p>
    <w:p w14:paraId="15D0232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lang w:eastAsia="zh-CN"/>
        </w:rPr>
        <w:t>无</w:t>
      </w:r>
      <w:r>
        <w:rPr>
          <w:rFonts w:hint="eastAsia" w:ascii="宋体" w:hAnsi="宋体" w:eastAsia="宋体" w:cs="宋体"/>
          <w:bCs/>
          <w:sz w:val="24"/>
          <w:szCs w:val="24"/>
          <w:highlight w:val="none"/>
        </w:rPr>
        <w:t>。</w:t>
      </w:r>
    </w:p>
    <w:p w14:paraId="6661F33A">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甲方的权利和义务</w:t>
      </w:r>
    </w:p>
    <w:p w14:paraId="5BDF3F3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1</w:t>
      </w:r>
      <w:r>
        <w:rPr>
          <w:rFonts w:hint="eastAsia" w:ascii="宋体" w:hAnsi="宋体" w:eastAsia="宋体" w:cs="宋体"/>
          <w:bCs/>
          <w:sz w:val="24"/>
          <w:szCs w:val="24"/>
          <w:highlight w:val="none"/>
          <w:lang w:val="en-US" w:eastAsia="zh-CN"/>
        </w:rPr>
        <w:t>.</w:t>
      </w:r>
      <w:r>
        <w:rPr>
          <w:rFonts w:hint="eastAsia" w:ascii="宋体" w:hAnsi="宋体" w:eastAsia="宋体" w:cs="宋体"/>
          <w:bCs/>
          <w:sz w:val="24"/>
          <w:szCs w:val="24"/>
          <w:highlight w:val="none"/>
        </w:rPr>
        <w:t>甲方有权对合同规定范围内乙方的服务行为进行监督和检查，拥有监管权。乙方服务质量、服务内容、人员配备不符合合同约定时，甲方有权要求乙方及时进行整改，对乙方拒不整改或整改不到位的，甲方有权随时解除合同，并根据具体情况扣除部分或全部服务费用。</w:t>
      </w:r>
    </w:p>
    <w:p w14:paraId="5695652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2</w:t>
      </w:r>
      <w:r>
        <w:rPr>
          <w:rFonts w:hint="eastAsia" w:ascii="宋体" w:hAnsi="宋体" w:eastAsia="宋体" w:cs="宋体"/>
          <w:bCs/>
          <w:sz w:val="24"/>
          <w:szCs w:val="24"/>
          <w:highlight w:val="none"/>
          <w:lang w:val="en-US" w:eastAsia="zh-CN"/>
        </w:rPr>
        <w:t>.</w:t>
      </w:r>
      <w:r>
        <w:rPr>
          <w:rFonts w:hint="eastAsia" w:ascii="宋体" w:hAnsi="宋体" w:eastAsia="宋体" w:cs="宋体"/>
          <w:bCs/>
          <w:sz w:val="24"/>
          <w:szCs w:val="24"/>
          <w:highlight w:val="none"/>
        </w:rPr>
        <w:t>负责检查监督乙方管理工作的实施及制度的执行情况。</w:t>
      </w:r>
    </w:p>
    <w:p w14:paraId="1B89C3A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4</w:t>
      </w:r>
      <w:r>
        <w:rPr>
          <w:rFonts w:hint="eastAsia" w:ascii="宋体" w:hAnsi="宋体" w:eastAsia="宋体" w:cs="宋体"/>
          <w:bCs/>
          <w:sz w:val="24"/>
          <w:szCs w:val="24"/>
          <w:highlight w:val="none"/>
          <w:lang w:val="en-US" w:eastAsia="zh-CN"/>
        </w:rPr>
        <w:t>.</w:t>
      </w:r>
      <w:r>
        <w:rPr>
          <w:rFonts w:hint="eastAsia" w:ascii="宋体" w:hAnsi="宋体" w:eastAsia="宋体" w:cs="宋体"/>
          <w:bCs/>
          <w:sz w:val="24"/>
          <w:szCs w:val="24"/>
          <w:highlight w:val="none"/>
        </w:rPr>
        <w:t>根据本合同规定，按时向乙方支付应付服务费用。</w:t>
      </w:r>
    </w:p>
    <w:p w14:paraId="2F3B9D3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5</w:t>
      </w:r>
      <w:r>
        <w:rPr>
          <w:rFonts w:hint="eastAsia" w:ascii="宋体" w:hAnsi="宋体" w:eastAsia="宋体" w:cs="宋体"/>
          <w:bCs/>
          <w:sz w:val="24"/>
          <w:szCs w:val="24"/>
          <w:highlight w:val="none"/>
          <w:lang w:val="en-US" w:eastAsia="zh-CN"/>
        </w:rPr>
        <w:t>.</w:t>
      </w:r>
      <w:r>
        <w:rPr>
          <w:rFonts w:hint="eastAsia" w:ascii="宋体" w:hAnsi="宋体" w:eastAsia="宋体" w:cs="宋体"/>
          <w:bCs/>
          <w:sz w:val="24"/>
          <w:szCs w:val="24"/>
          <w:highlight w:val="none"/>
        </w:rPr>
        <w:t>国家法律、法规所规定由甲方承担的其它责任。</w:t>
      </w:r>
    </w:p>
    <w:p w14:paraId="39869984">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乙方的权利和义务</w:t>
      </w:r>
    </w:p>
    <w:p w14:paraId="317D983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1</w:t>
      </w:r>
      <w:r>
        <w:rPr>
          <w:rFonts w:hint="eastAsia" w:ascii="宋体" w:hAnsi="宋体" w:eastAsia="宋体" w:cs="宋体"/>
          <w:bCs/>
          <w:sz w:val="24"/>
          <w:szCs w:val="24"/>
          <w:highlight w:val="none"/>
          <w:lang w:val="en-US" w:eastAsia="zh-CN"/>
        </w:rPr>
        <w:t>.</w:t>
      </w:r>
      <w:r>
        <w:rPr>
          <w:rFonts w:hint="eastAsia" w:ascii="宋体" w:hAnsi="宋体" w:eastAsia="宋体" w:cs="宋体"/>
          <w:bCs/>
          <w:sz w:val="24"/>
          <w:szCs w:val="24"/>
          <w:highlight w:val="none"/>
        </w:rPr>
        <w:t>对本合同规定的委托服务范围内的项目享有管理权及服务义务。</w:t>
      </w:r>
    </w:p>
    <w:p w14:paraId="042D645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2</w:t>
      </w:r>
      <w:r>
        <w:rPr>
          <w:rFonts w:hint="eastAsia" w:ascii="宋体" w:hAnsi="宋体" w:eastAsia="宋体" w:cs="宋体"/>
          <w:bCs/>
          <w:sz w:val="24"/>
          <w:szCs w:val="24"/>
          <w:highlight w:val="none"/>
          <w:lang w:val="en-US" w:eastAsia="zh-CN"/>
        </w:rPr>
        <w:t>.</w:t>
      </w:r>
      <w:r>
        <w:rPr>
          <w:rFonts w:hint="eastAsia" w:ascii="宋体" w:hAnsi="宋体" w:eastAsia="宋体" w:cs="宋体"/>
          <w:bCs/>
          <w:sz w:val="24"/>
          <w:szCs w:val="24"/>
          <w:highlight w:val="none"/>
        </w:rPr>
        <w:t>根据本合同的规定向甲方收取相关服务费用，并有权在本项目管理范围内管理及合理使用。</w:t>
      </w:r>
    </w:p>
    <w:p w14:paraId="68EFD3D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及时向甲方通告本项目服务范围内有关服务的重大事项，及时配合处理投诉。</w:t>
      </w:r>
    </w:p>
    <w:p w14:paraId="22B9745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w:t>
      </w:r>
      <w:r>
        <w:rPr>
          <w:rFonts w:hint="eastAsia" w:ascii="宋体" w:hAnsi="宋体" w:eastAsia="宋体" w:cs="宋体"/>
          <w:bCs/>
          <w:sz w:val="24"/>
          <w:szCs w:val="24"/>
          <w:highlight w:val="none"/>
        </w:rPr>
        <w:t>接受项目行业管理部门及政府有关部门的指导，接受甲方的监督。</w:t>
      </w:r>
    </w:p>
    <w:p w14:paraId="547642C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5</w:t>
      </w:r>
      <w:r>
        <w:rPr>
          <w:rFonts w:hint="eastAsia" w:ascii="宋体" w:hAnsi="宋体" w:eastAsia="宋体" w:cs="宋体"/>
          <w:bCs/>
          <w:sz w:val="24"/>
          <w:szCs w:val="24"/>
          <w:highlight w:val="none"/>
          <w:lang w:val="en-US" w:eastAsia="zh-CN"/>
        </w:rPr>
        <w:t>.</w:t>
      </w:r>
      <w:r>
        <w:rPr>
          <w:rFonts w:hint="eastAsia" w:ascii="宋体" w:hAnsi="宋体" w:eastAsia="宋体" w:cs="宋体"/>
          <w:bCs/>
          <w:sz w:val="24"/>
          <w:szCs w:val="24"/>
          <w:highlight w:val="none"/>
        </w:rPr>
        <w:t>国家法律、法规所规定由乙方承担的其它责任。</w:t>
      </w:r>
    </w:p>
    <w:p w14:paraId="1EFC92E4">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违约责任</w:t>
      </w:r>
    </w:p>
    <w:p w14:paraId="798C1C0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1</w:t>
      </w:r>
      <w:r>
        <w:rPr>
          <w:rFonts w:hint="eastAsia" w:ascii="宋体" w:hAnsi="宋体" w:eastAsia="宋体" w:cs="宋体"/>
          <w:bCs/>
          <w:sz w:val="24"/>
          <w:szCs w:val="24"/>
          <w:highlight w:val="none"/>
          <w:lang w:val="en-US" w:eastAsia="zh-CN"/>
        </w:rPr>
        <w:t>.</w:t>
      </w:r>
      <w:r>
        <w:rPr>
          <w:rFonts w:hint="eastAsia" w:ascii="宋体" w:hAnsi="宋体" w:eastAsia="宋体" w:cs="宋体"/>
          <w:bCs/>
          <w:sz w:val="24"/>
          <w:szCs w:val="24"/>
          <w:highlight w:val="none"/>
        </w:rPr>
        <w:t>甲乙双方必须遵守本合同并执行合同中的各项规定，保证本合同的正常履行。</w:t>
      </w:r>
    </w:p>
    <w:p w14:paraId="44BAA25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2</w:t>
      </w:r>
      <w:r>
        <w:rPr>
          <w:rFonts w:hint="eastAsia" w:ascii="宋体" w:hAnsi="宋体" w:eastAsia="宋体" w:cs="宋体"/>
          <w:bCs/>
          <w:sz w:val="24"/>
          <w:szCs w:val="24"/>
          <w:highlight w:val="none"/>
          <w:lang w:val="en-US" w:eastAsia="zh-CN"/>
        </w:rPr>
        <w:t>.</w:t>
      </w:r>
      <w:r>
        <w:rPr>
          <w:rFonts w:hint="eastAsia" w:ascii="宋体" w:hAnsi="宋体" w:eastAsia="宋体" w:cs="宋体"/>
          <w:bCs/>
          <w:sz w:val="24"/>
          <w:szCs w:val="24"/>
          <w:highlight w:val="none"/>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3E0FDDD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baseline"/>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3.因乙方违约行为引起甲方向乙方主张权利的，乙方除了承担上述违约责任外，还需承担甲方为追究乙方责任所付出的一切费用，包括但不限于诉讼费、保全费、鉴定费、保全担保费、执行费、律师费以及其他甲方为实现债权的合理费用与损失。</w:t>
      </w:r>
    </w:p>
    <w:p w14:paraId="048E05E0">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不可抗力事件处理</w:t>
      </w:r>
    </w:p>
    <w:p w14:paraId="20625ACE">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在合同有效期内，任何一方因不可抗力事件导致不能履行合同，则合同履行期可延长，其延长期与不可抗力影响期相同。</w:t>
      </w:r>
    </w:p>
    <w:p w14:paraId="592E509C">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不可抗力事件发生后，应立即通知对方，并寄送有关权威机构出具的证明。</w:t>
      </w:r>
    </w:p>
    <w:p w14:paraId="3A9CC228">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不可抗力事件</w:t>
      </w:r>
      <w:r>
        <w:rPr>
          <w:rFonts w:hint="eastAsia" w:ascii="宋体" w:hAnsi="宋体" w:eastAsia="宋体" w:cs="宋体"/>
          <w:sz w:val="24"/>
          <w:szCs w:val="24"/>
          <w:highlight w:val="none"/>
          <w:u w:val="none"/>
        </w:rPr>
        <w:t>延续</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sz w:val="24"/>
          <w:szCs w:val="24"/>
          <w:highlight w:val="none"/>
          <w:u w:val="none"/>
        </w:rPr>
        <w:t>天</w:t>
      </w:r>
      <w:r>
        <w:rPr>
          <w:rFonts w:hint="eastAsia" w:ascii="宋体" w:hAnsi="宋体" w:eastAsia="宋体" w:cs="宋体"/>
          <w:sz w:val="24"/>
          <w:szCs w:val="24"/>
          <w:highlight w:val="none"/>
        </w:rPr>
        <w:t>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7DBD3220">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2" w:firstLineChars="200"/>
        <w:rPr>
          <w:rFonts w:hint="eastAsia" w:ascii="宋体" w:hAnsi="宋体" w:eastAsia="宋体" w:cs="宋体"/>
          <w:b/>
          <w:sz w:val="24"/>
          <w:szCs w:val="24"/>
          <w:highlight w:val="none"/>
        </w:rPr>
      </w:pPr>
      <w:bookmarkStart w:id="18" w:name="_Toc251768867"/>
      <w:bookmarkStart w:id="19" w:name="_Toc185395254"/>
      <w:bookmarkStart w:id="20" w:name="_Toc237145411"/>
      <w:bookmarkStart w:id="21" w:name="_Toc247334846"/>
      <w:bookmarkStart w:id="22" w:name="_Toc232492933"/>
      <w:bookmarkStart w:id="23" w:name="_Toc241833908"/>
      <w:bookmarkStart w:id="24" w:name="_Toc211854454"/>
      <w:bookmarkStart w:id="25" w:name="_Toc238984980"/>
      <w:bookmarkStart w:id="26" w:name="_Toc211911353"/>
      <w:bookmarkStart w:id="27" w:name="_Toc225244857"/>
      <w:bookmarkStart w:id="28" w:name="_Toc286993792"/>
      <w:bookmarkStart w:id="29" w:name="_Toc239233919"/>
      <w:bookmarkStart w:id="30" w:name="_Toc225654649"/>
      <w:bookmarkStart w:id="31" w:name="_Toc225670756"/>
      <w:bookmarkStart w:id="32" w:name="_Toc239568423"/>
      <w:bookmarkStart w:id="33" w:name="_Toc212019599"/>
      <w:r>
        <w:rPr>
          <w:rFonts w:hint="eastAsia" w:ascii="宋体" w:hAnsi="宋体" w:eastAsia="宋体" w:cs="宋体"/>
          <w:b/>
          <w:sz w:val="24"/>
          <w:szCs w:val="24"/>
          <w:highlight w:val="none"/>
        </w:rPr>
        <w:t>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0536753">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在执行本合同中发生的或与本合同有关的争端，双方应通过友好协商解决，不能协商一致的，双方均可向甲方所在地人民法院提起诉讼。</w:t>
      </w:r>
      <w:r>
        <w:rPr>
          <w:rFonts w:hint="eastAsia" w:ascii="宋体" w:hAnsi="宋体" w:eastAsia="宋体" w:cs="宋体"/>
          <w:sz w:val="24"/>
          <w:szCs w:val="24"/>
          <w:highlight w:val="none"/>
        </w:rPr>
        <w:t xml:space="preserve"> </w:t>
      </w:r>
    </w:p>
    <w:p w14:paraId="6C8D3B8E">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2" w:firstLineChars="200"/>
        <w:rPr>
          <w:rFonts w:hint="eastAsia" w:ascii="宋体" w:hAnsi="宋体" w:eastAsia="宋体" w:cs="宋体"/>
          <w:b/>
          <w:sz w:val="24"/>
          <w:szCs w:val="24"/>
          <w:highlight w:val="none"/>
        </w:rPr>
      </w:pPr>
      <w:bookmarkStart w:id="34" w:name="_Toc185395255"/>
      <w:bookmarkStart w:id="35" w:name="_Toc237145412"/>
      <w:bookmarkStart w:id="36" w:name="_Toc241833909"/>
      <w:bookmarkStart w:id="37" w:name="_Toc212019600"/>
      <w:bookmarkStart w:id="38" w:name="_Toc247334847"/>
      <w:bookmarkStart w:id="39" w:name="_Toc282696231"/>
      <w:bookmarkStart w:id="40" w:name="_Toc225670757"/>
      <w:bookmarkStart w:id="41" w:name="_Toc211854455"/>
      <w:bookmarkStart w:id="42" w:name="_Toc238984981"/>
      <w:bookmarkStart w:id="43" w:name="_Toc225244858"/>
      <w:bookmarkStart w:id="44" w:name="_Toc283019219"/>
      <w:bookmarkStart w:id="45" w:name="_Toc225654650"/>
      <w:bookmarkStart w:id="46" w:name="_Toc286993793"/>
      <w:bookmarkStart w:id="47" w:name="_Toc251768868"/>
      <w:bookmarkStart w:id="48" w:name="_Toc239568424"/>
      <w:bookmarkStart w:id="49" w:name="_Toc232492934"/>
      <w:bookmarkStart w:id="50" w:name="_Toc239233920"/>
      <w:bookmarkStart w:id="51" w:name="_Toc211911354"/>
      <w:r>
        <w:rPr>
          <w:rFonts w:hint="eastAsia" w:ascii="宋体" w:hAnsi="宋体" w:eastAsia="宋体" w:cs="宋体"/>
          <w:b/>
          <w:sz w:val="24"/>
          <w:szCs w:val="24"/>
          <w:highlight w:val="none"/>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sz w:val="24"/>
          <w:szCs w:val="24"/>
          <w:highlight w:val="none"/>
        </w:rPr>
        <w:t>生效及其他</w:t>
      </w:r>
    </w:p>
    <w:p w14:paraId="1BDC2D70">
      <w:pPr>
        <w:pStyle w:val="9"/>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合同经双方法定代表人或授权委托代理人签字并加盖单位公章后生效。</w:t>
      </w:r>
    </w:p>
    <w:p w14:paraId="4E304B79">
      <w:pPr>
        <w:pStyle w:val="9"/>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合同执行中涉及资金和采购内容修改或补充的，须经</w:t>
      </w:r>
      <w:r>
        <w:rPr>
          <w:rFonts w:hint="eastAsia" w:ascii="宋体" w:hAnsi="宋体" w:eastAsia="宋体" w:cs="宋体"/>
          <w:sz w:val="24"/>
          <w:szCs w:val="24"/>
          <w:highlight w:val="none"/>
          <w:lang w:eastAsia="zh-CN"/>
        </w:rPr>
        <w:t>甲方监督</w:t>
      </w:r>
      <w:r>
        <w:rPr>
          <w:rFonts w:hint="eastAsia" w:ascii="宋体" w:hAnsi="宋体" w:eastAsia="宋体" w:cs="宋体"/>
          <w:sz w:val="24"/>
          <w:szCs w:val="24"/>
          <w:highlight w:val="none"/>
        </w:rPr>
        <w:t>部门审批，并签书面补充协议报</w:t>
      </w:r>
      <w:r>
        <w:rPr>
          <w:rFonts w:hint="eastAsia" w:ascii="宋体" w:hAnsi="宋体" w:eastAsia="宋体" w:cs="宋体"/>
          <w:sz w:val="24"/>
          <w:szCs w:val="24"/>
          <w:highlight w:val="none"/>
          <w:lang w:eastAsia="zh-CN"/>
        </w:rPr>
        <w:t>甲方相关行政部门</w:t>
      </w:r>
      <w:r>
        <w:rPr>
          <w:rFonts w:hint="eastAsia" w:ascii="宋体" w:hAnsi="宋体" w:eastAsia="宋体" w:cs="宋体"/>
          <w:sz w:val="24"/>
          <w:szCs w:val="24"/>
          <w:highlight w:val="none"/>
        </w:rPr>
        <w:t>备案，方可作为主合同不可分割的一部分。</w:t>
      </w:r>
    </w:p>
    <w:p w14:paraId="77286BC6">
      <w:pPr>
        <w:pStyle w:val="9"/>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本合同一式</w:t>
      </w:r>
      <w:r>
        <w:rPr>
          <w:rFonts w:hint="eastAsia" w:ascii="宋体" w:hAnsi="宋体" w:eastAsia="宋体" w:cs="宋体"/>
          <w:color w:val="000000"/>
          <w:sz w:val="24"/>
          <w:szCs w:val="24"/>
          <w:highlight w:val="none"/>
          <w:lang w:eastAsia="zh-CN"/>
        </w:rPr>
        <w:t>陆</w:t>
      </w:r>
      <w:r>
        <w:rPr>
          <w:rFonts w:hint="eastAsia" w:ascii="宋体" w:hAnsi="宋体" w:eastAsia="宋体" w:cs="宋体"/>
          <w:sz w:val="24"/>
          <w:szCs w:val="24"/>
          <w:highlight w:val="none"/>
        </w:rPr>
        <w:t>份，自双方签章之日起起效。甲方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份，乙方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份，采购代理机构</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份，具有同等法律效力。</w:t>
      </w:r>
    </w:p>
    <w:p w14:paraId="491DD0A8">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附件</w:t>
      </w:r>
    </w:p>
    <w:p w14:paraId="4DA1900B">
      <w:pPr>
        <w:pStyle w:val="9"/>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竞争性磋商</w:t>
      </w:r>
      <w:r>
        <w:rPr>
          <w:rFonts w:hint="eastAsia" w:ascii="宋体" w:hAnsi="宋体" w:eastAsia="宋体" w:cs="宋体"/>
          <w:sz w:val="24"/>
          <w:szCs w:val="24"/>
          <w:highlight w:val="none"/>
          <w:lang w:val="en-US" w:eastAsia="zh-CN"/>
        </w:rPr>
        <w:t>文件</w:t>
      </w:r>
    </w:p>
    <w:p w14:paraId="1A9B217B">
      <w:pPr>
        <w:pStyle w:val="9"/>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澄清</w:t>
      </w:r>
      <w:r>
        <w:rPr>
          <w:rFonts w:hint="eastAsia" w:ascii="宋体" w:hAnsi="宋体" w:eastAsia="宋体" w:cs="宋体"/>
          <w:sz w:val="24"/>
          <w:szCs w:val="24"/>
          <w:highlight w:val="none"/>
          <w:lang w:eastAsia="zh-CN"/>
        </w:rPr>
        <w:t>（或答疑）</w:t>
      </w:r>
      <w:r>
        <w:rPr>
          <w:rFonts w:hint="eastAsia" w:ascii="宋体" w:hAnsi="宋体" w:eastAsia="宋体" w:cs="宋体"/>
          <w:sz w:val="24"/>
          <w:szCs w:val="24"/>
          <w:highlight w:val="none"/>
        </w:rPr>
        <w:t>文件</w:t>
      </w:r>
    </w:p>
    <w:p w14:paraId="048A873F">
      <w:pPr>
        <w:pStyle w:val="9"/>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响应</w:t>
      </w:r>
      <w:r>
        <w:rPr>
          <w:rFonts w:hint="eastAsia" w:ascii="宋体" w:hAnsi="宋体" w:eastAsia="宋体" w:cs="宋体"/>
          <w:sz w:val="24"/>
          <w:szCs w:val="24"/>
          <w:highlight w:val="none"/>
          <w:lang w:val="en-US" w:eastAsia="zh-CN"/>
        </w:rPr>
        <w:t>文件</w:t>
      </w:r>
    </w:p>
    <w:p w14:paraId="5511C716">
      <w:pPr>
        <w:pStyle w:val="9"/>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中标（成交）</w:t>
      </w:r>
      <w:r>
        <w:rPr>
          <w:rFonts w:hint="eastAsia" w:ascii="宋体" w:hAnsi="宋体" w:eastAsia="宋体" w:cs="宋体"/>
          <w:sz w:val="24"/>
          <w:szCs w:val="24"/>
          <w:highlight w:val="none"/>
          <w:lang w:eastAsia="zh-CN"/>
        </w:rPr>
        <w:t>通知书</w:t>
      </w:r>
    </w:p>
    <w:p w14:paraId="5B71CCAD">
      <w:pPr>
        <w:pStyle w:val="9"/>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其他</w:t>
      </w:r>
    </w:p>
    <w:p w14:paraId="5590D00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（以下无正文）</w:t>
      </w:r>
    </w:p>
    <w:p w14:paraId="464D729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sz w:val="24"/>
          <w:szCs w:val="24"/>
          <w:highlight w:val="none"/>
        </w:rPr>
        <w:t>甲方：</w:t>
      </w:r>
      <w:r>
        <w:rPr>
          <w:rFonts w:hint="eastAsia" w:ascii="宋体" w:hAnsi="宋体" w:cs="宋体"/>
          <w:sz w:val="24"/>
          <w:szCs w:val="24"/>
          <w:highlight w:val="none"/>
          <w:u w:val="single"/>
          <w:lang w:val="en-US" w:eastAsia="zh-CN"/>
        </w:rPr>
        <w:t>西安市统计局</w:t>
      </w:r>
      <w:r>
        <w:rPr>
          <w:rFonts w:hint="eastAsia" w:ascii="宋体" w:hAnsi="宋体" w:eastAsia="宋体" w:cs="宋体"/>
          <w:sz w:val="24"/>
          <w:szCs w:val="24"/>
          <w:highlight w:val="none"/>
        </w:rPr>
        <w:t xml:space="preserve">（盖章）   </w:t>
      </w:r>
      <w:r>
        <w:rPr>
          <w:rFonts w:hint="eastAsia" w:ascii="宋体" w:hAnsi="宋体" w:eastAsia="宋体" w:cs="宋体"/>
          <w:sz w:val="24"/>
          <w:szCs w:val="24"/>
          <w:highlight w:val="none"/>
        </w:rPr>
        <w:tab/>
      </w:r>
      <w:r>
        <w:rPr>
          <w:rFonts w:hint="eastAsia" w:ascii="宋体" w:hAnsi="宋体" w:eastAsia="宋体" w:cs="宋体"/>
          <w:sz w:val="24"/>
          <w:szCs w:val="24"/>
          <w:highlight w:val="none"/>
        </w:rPr>
        <w:tab/>
      </w:r>
      <w:r>
        <w:rPr>
          <w:rFonts w:hint="eastAsia" w:ascii="宋体" w:hAnsi="宋体" w:eastAsia="宋体" w:cs="宋体"/>
          <w:sz w:val="24"/>
          <w:szCs w:val="24"/>
          <w:highlight w:val="none"/>
        </w:rPr>
        <w:t>乙方：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（盖章） </w:t>
      </w:r>
    </w:p>
    <w:p w14:paraId="51A1235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法定代表人（授权代表）：           法定代表人（授权代表）：</w:t>
      </w:r>
    </w:p>
    <w:p w14:paraId="5D69F53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地    址：                         地    址：</w:t>
      </w:r>
    </w:p>
    <w:p w14:paraId="39F8CB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开户银行：                         开户银行：</w:t>
      </w:r>
    </w:p>
    <w:p w14:paraId="66350A5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账号：                             账号：</w:t>
      </w:r>
    </w:p>
    <w:p w14:paraId="05921FD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电    话：                         电    话：</w:t>
      </w:r>
    </w:p>
    <w:p w14:paraId="27AE963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传    真：                         传    真：</w:t>
      </w:r>
    </w:p>
    <w:p w14:paraId="0E8202D7">
      <w:pPr>
        <w:pStyle w:val="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rPr>
          <w:rFonts w:hint="eastAsia" w:ascii="宋体" w:hAnsi="宋体" w:eastAsia="宋体" w:cs="宋体"/>
          <w:b/>
          <w:bCs/>
          <w:color w:val="auto"/>
          <w:sz w:val="24"/>
          <w:szCs w:val="24"/>
          <w:highlight w:val="none"/>
        </w:rPr>
      </w:pPr>
      <w:r>
        <w:rPr>
          <w:rFonts w:hint="eastAsia" w:ascii="宋体" w:hAnsi="宋体" w:eastAsia="宋体" w:cs="宋体"/>
          <w:sz w:val="24"/>
          <w:szCs w:val="24"/>
          <w:highlight w:val="none"/>
        </w:rPr>
        <w:t>签约日期：</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sz w:val="24"/>
          <w:szCs w:val="24"/>
          <w:highlight w:val="none"/>
        </w:rPr>
        <w:t xml:space="preserve">日 </w:t>
      </w:r>
      <w:r>
        <w:rPr>
          <w:rFonts w:hint="eastAsia" w:ascii="宋体" w:hAnsi="宋体" w:eastAsia="宋体" w:cs="宋体"/>
          <w:sz w:val="24"/>
          <w:szCs w:val="24"/>
          <w:highlight w:val="none"/>
        </w:rPr>
        <w:tab/>
      </w:r>
      <w:r>
        <w:rPr>
          <w:rFonts w:hint="eastAsia" w:ascii="宋体" w:hAnsi="宋体" w:eastAsia="宋体" w:cs="宋体"/>
          <w:sz w:val="24"/>
          <w:szCs w:val="24"/>
          <w:highlight w:val="none"/>
        </w:rPr>
        <w:tab/>
      </w:r>
      <w:r>
        <w:rPr>
          <w:rFonts w:hint="eastAsia" w:hAnsi="宋体" w:cs="宋体"/>
          <w:sz w:val="24"/>
          <w:szCs w:val="24"/>
          <w:highlight w:val="none"/>
          <w:lang w:val="en-US" w:eastAsia="zh-CN"/>
        </w:rPr>
        <w:t xml:space="preserve">   </w:t>
      </w:r>
      <w:r>
        <w:rPr>
          <w:rFonts w:hint="eastAsia" w:ascii="宋体" w:hAnsi="宋体" w:eastAsia="宋体" w:cs="宋体"/>
          <w:sz w:val="24"/>
          <w:szCs w:val="24"/>
          <w:highlight w:val="none"/>
        </w:rPr>
        <w:t>签约日期：</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sz w:val="24"/>
          <w:szCs w:val="24"/>
          <w:highlight w:val="none"/>
        </w:rPr>
        <w:t xml:space="preserve">日 </w:t>
      </w:r>
    </w:p>
    <w:p w14:paraId="6407A33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rPr>
          <w:rFonts w:hint="eastAsia" w:ascii="宋体" w:hAnsi="宋体" w:eastAsia="宋体" w:cs="宋体"/>
          <w:bCs/>
          <w:szCs w:val="44"/>
          <w:highlight w:val="none"/>
        </w:rPr>
      </w:pPr>
      <w:r>
        <w:rPr>
          <w:rFonts w:hint="eastAsia" w:ascii="宋体" w:hAnsi="宋体" w:eastAsia="宋体" w:cs="宋体"/>
          <w:b/>
          <w:sz w:val="24"/>
          <w:szCs w:val="24"/>
          <w:highlight w:val="none"/>
          <w:lang w:val="en-US" w:eastAsia="zh-CN"/>
        </w:rPr>
        <w:t xml:space="preserve"> </w:t>
      </w:r>
    </w:p>
    <w:p w14:paraId="4E0651F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rPr>
          <w:rFonts w:hint="eastAsia" w:ascii="宋体" w:hAnsi="宋体" w:cs="宋体"/>
          <w:b/>
          <w:sz w:val="48"/>
          <w:szCs w:val="48"/>
          <w:highlight w:val="none"/>
        </w:rPr>
      </w:pPr>
      <w:r>
        <w:rPr>
          <w:rFonts w:hint="eastAsia" w:ascii="宋体" w:hAnsi="宋体" w:eastAsia="宋体" w:cs="宋体"/>
          <w:sz w:val="24"/>
          <w:szCs w:val="24"/>
          <w:highlight w:val="none"/>
        </w:rPr>
        <w:t>签订地点：</w:t>
      </w:r>
      <w:r>
        <w:rPr>
          <w:rFonts w:hint="eastAsia" w:ascii="宋体" w:hAnsi="宋体" w:eastAsia="宋体" w:cs="宋体"/>
          <w:sz w:val="24"/>
          <w:szCs w:val="24"/>
          <w:highlight w:val="none"/>
          <w:u w:val="single"/>
          <w:lang w:val="en-US" w:eastAsia="zh-CN"/>
        </w:rPr>
        <w:t xml:space="preserve">                       </w:t>
      </w:r>
    </w:p>
    <w:p w14:paraId="5234BDCA">
      <w:pPr>
        <w:rPr>
          <w:highlight w:val="none"/>
        </w:rPr>
      </w:pPr>
    </w:p>
    <w:p w14:paraId="62C47E2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rPr>
          <w:highlight w:val="none"/>
        </w:rPr>
      </w:pPr>
    </w:p>
    <w:p w14:paraId="3EF6B1FF">
      <w:pPr>
        <w:pStyle w:val="11"/>
        <w:adjustRightInd w:val="0"/>
        <w:snapToGrid w:val="0"/>
        <w:spacing w:line="360" w:lineRule="auto"/>
        <w:ind w:firstLine="400" w:firstLineChars="200"/>
        <w:rPr>
          <w:rFonts w:ascii="宋体" w:hAnsi="宋体" w:cs="宋体"/>
          <w:highlight w:val="none"/>
        </w:rPr>
      </w:pPr>
    </w:p>
    <w:p w14:paraId="744F7772">
      <w:pPr>
        <w:rPr>
          <w:highlight w:val="none"/>
        </w:rPr>
      </w:pPr>
    </w:p>
    <w:bookmarkEnd w:id="52"/>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BB6EE">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0E24BB">
                          <w:pPr>
                            <w:pStyle w:val="4"/>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14:paraId="610E24BB">
                    <w:pPr>
                      <w:pStyle w:val="4"/>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891D5">
    <w:pPr>
      <w:pStyle w:val="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C9B048">
                          <w:pPr>
                            <w:pStyle w:val="4"/>
                          </w:pPr>
                          <w:r>
                            <w:t xml:space="preserve">第 </w:t>
                          </w:r>
                          <w:r>
                            <w:fldChar w:fldCharType="begin"/>
                          </w:r>
                          <w:r>
                            <w:instrText xml:space="preserve"> PAGE  \* MERGEFORMAT </w:instrText>
                          </w:r>
                          <w:r>
                            <w:fldChar w:fldCharType="separate"/>
                          </w:r>
                          <w:r>
                            <w:t>7</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71C9B048">
                    <w:pPr>
                      <w:pStyle w:val="4"/>
                    </w:pPr>
                    <w:r>
                      <w:t xml:space="preserve">第 </w:t>
                    </w:r>
                    <w:r>
                      <w:fldChar w:fldCharType="begin"/>
                    </w:r>
                    <w:r>
                      <w:instrText xml:space="preserve"> PAGE  \* MERGEFORMAT </w:instrText>
                    </w:r>
                    <w:r>
                      <w:fldChar w:fldCharType="separate"/>
                    </w:r>
                    <w:r>
                      <w:t>7</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9D3C7">
    <w:pPr>
      <w:pStyle w:val="5"/>
      <w:pBdr>
        <w:bottom w:val="none" w:color="auto" w:sz="0" w:space="0"/>
      </w:pBdr>
      <w:jc w:val="both"/>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E85B14"/>
    <w:rsid w:val="26E85B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Arial" w:cs="Arial"/>
      <w:sz w:val="21"/>
      <w:szCs w:val="21"/>
      <w:lang w:val="en-US" w:eastAsia="en-US" w:bidi="ar-SA"/>
    </w:rPr>
  </w:style>
  <w:style w:type="paragraph" w:styleId="3">
    <w:name w:val="Plain Text"/>
    <w:basedOn w:val="1"/>
    <w:qFormat/>
    <w:uiPriority w:val="99"/>
    <w:pPr>
      <w:spacing w:line="324" w:lineRule="auto"/>
    </w:pPr>
    <w:rPr>
      <w:rFonts w:ascii="宋体" w:hAnsi="Courier New"/>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w:basedOn w:val="2"/>
    <w:unhideWhenUsed/>
    <w:qFormat/>
    <w:uiPriority w:val="99"/>
    <w:pPr>
      <w:ind w:firstLine="420" w:firstLineChars="100"/>
    </w:pPr>
  </w:style>
  <w:style w:type="paragraph" w:customStyle="1" w:styleId="9">
    <w:name w:val="List Paragraph"/>
    <w:basedOn w:val="1"/>
    <w:qFormat/>
    <w:uiPriority w:val="34"/>
    <w:pPr>
      <w:ind w:firstLine="420" w:firstLineChars="200"/>
    </w:pPr>
    <w:rPr>
      <w:rFonts w:ascii="Calibri" w:hAnsi="Calibri" w:eastAsia="宋体" w:cs="Times New Roman"/>
    </w:rPr>
  </w:style>
  <w:style w:type="paragraph" w:customStyle="1" w:styleId="10">
    <w:name w:val="HTML 预设格式1"/>
    <w:basedOn w:val="1"/>
    <w:qFormat/>
    <w:uiPriority w:val="0"/>
    <w:rPr>
      <w:rFonts w:ascii="Courier New" w:hAnsi="Courier New"/>
      <w:sz w:val="20"/>
    </w:rPr>
  </w:style>
  <w:style w:type="paragraph" w:customStyle="1" w:styleId="11">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2026-05-06T08:53:00Z</dcterms:created>
  <dc:creator>姚瑶</dc:creator>
  <cp:lastModifiedBy>姚瑶</cp:lastModifiedBy>
  <dcterms:modified xsi:type="dcterms:W3CDTF">2026-05-06T08:54:23Z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80160E129E73499E8304650A67F638AF_11</vt:lpwstr>
  </property>
  <property fmtid="{D5CDD505-2E9C-101B-9397-08002B2CF9AE}" pid="4" name="KSOTemplateDocerSaveRecord">
    <vt:lpwstr>eyJoZGlkIjoiNDdhNzc0MmNiNWM2N2E0MGJkOTgwYWE5YzYzYjE5YmYiLCJ1c2VySWQiOiIzODU0NDc2MTYifQ==</vt:lpwstr>
  </property>
</Properties>
</file>