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F8347">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K" w:cs="Times New Roman"/>
          <w:snapToGrid w:val="0"/>
          <w:color w:val="auto"/>
          <w:spacing w:val="3"/>
          <w:kern w:val="0"/>
          <w:sz w:val="28"/>
          <w:szCs w:val="28"/>
          <w:u w:val="none"/>
          <w:lang w:val="en-US" w:eastAsia="zh-CN" w:bidi="ar-SA"/>
        </w:rPr>
      </w:pPr>
      <w:r>
        <w:rPr>
          <w:rFonts w:hint="default" w:ascii="Times New Roman" w:hAnsi="Times New Roman" w:eastAsia="方正仿宋_GBK" w:cs="Times New Roman"/>
          <w:snapToGrid w:val="0"/>
          <w:color w:val="auto"/>
          <w:spacing w:val="3"/>
          <w:kern w:val="0"/>
          <w:sz w:val="28"/>
          <w:szCs w:val="28"/>
          <w:u w:val="none"/>
          <w:lang w:val="en-US" w:eastAsia="en-US" w:bidi="ar-SA"/>
        </w:rPr>
        <w:t>合同编号：</w:t>
      </w:r>
      <w:r>
        <w:rPr>
          <w:rFonts w:hint="eastAsia" w:ascii="Times New Roman" w:hAnsi="Times New Roman" w:eastAsia="方正仿宋_GBK" w:cs="Times New Roman"/>
          <w:snapToGrid w:val="0"/>
          <w:color w:val="auto"/>
          <w:spacing w:val="3"/>
          <w:kern w:val="0"/>
          <w:sz w:val="28"/>
          <w:szCs w:val="28"/>
          <w:u w:val="none"/>
          <w:lang w:val="en-US" w:eastAsia="zh-CN" w:bidi="ar-SA"/>
        </w:rPr>
        <w:t>TC</w:t>
      </w:r>
      <w:r>
        <w:rPr>
          <w:rFonts w:hint="eastAsia" w:ascii="Times New Roman" w:hAnsi="Times New Roman" w:eastAsia="方正仿宋_GBK" w:cs="Times New Roman"/>
          <w:snapToGrid w:val="0"/>
          <w:color w:val="auto"/>
          <w:spacing w:val="3"/>
          <w:kern w:val="0"/>
          <w:sz w:val="28"/>
          <w:szCs w:val="28"/>
          <w:u w:val="none"/>
          <w:lang w:val="en-US" w:eastAsia="en-US" w:bidi="ar-SA"/>
        </w:rPr>
        <w:t>XF-202</w:t>
      </w:r>
      <w:r>
        <w:rPr>
          <w:rFonts w:hint="eastAsia" w:ascii="Times New Roman" w:hAnsi="Times New Roman" w:eastAsia="方正仿宋_GBK" w:cs="Times New Roman"/>
          <w:snapToGrid w:val="0"/>
          <w:color w:val="auto"/>
          <w:spacing w:val="3"/>
          <w:kern w:val="0"/>
          <w:sz w:val="28"/>
          <w:szCs w:val="28"/>
          <w:u w:val="none"/>
          <w:lang w:val="en-US" w:eastAsia="zh-CN" w:bidi="ar-SA"/>
        </w:rPr>
        <w:t>6010X</w:t>
      </w:r>
      <w:r>
        <w:rPr>
          <w:rFonts w:hint="default" w:ascii="Times New Roman" w:hAnsi="Times New Roman" w:eastAsia="方正仿宋_GBK" w:cs="Times New Roman"/>
          <w:snapToGrid w:val="0"/>
          <w:color w:val="auto"/>
          <w:spacing w:val="3"/>
          <w:kern w:val="0"/>
          <w:sz w:val="28"/>
          <w:szCs w:val="28"/>
          <w:u w:val="none"/>
          <w:lang w:val="en-US" w:eastAsia="en-US" w:bidi="ar-SA"/>
        </w:rPr>
        <w:t>-</w:t>
      </w:r>
      <w:r>
        <w:rPr>
          <w:rFonts w:hint="eastAsia" w:ascii="Times New Roman" w:hAnsi="Times New Roman" w:eastAsia="方正仿宋_GBK" w:cs="Times New Roman"/>
          <w:snapToGrid w:val="0"/>
          <w:color w:val="auto"/>
          <w:spacing w:val="3"/>
          <w:kern w:val="0"/>
          <w:sz w:val="28"/>
          <w:szCs w:val="28"/>
          <w:u w:val="none"/>
          <w:lang w:val="en-US" w:eastAsia="zh-CN" w:bidi="ar-SA"/>
        </w:rPr>
        <w:t>XX-XXXXXX</w:t>
      </w:r>
    </w:p>
    <w:p w14:paraId="36C890EA">
      <w:pPr>
        <w:keepNext w:val="0"/>
        <w:keepLines w:val="0"/>
        <w:pageBreakBefore w:val="0"/>
        <w:widowControl/>
        <w:kinsoku w:val="0"/>
        <w:wordWrap/>
        <w:overflowPunct/>
        <w:topLinePunct w:val="0"/>
        <w:autoSpaceDE w:val="0"/>
        <w:autoSpaceDN w:val="0"/>
        <w:bidi w:val="0"/>
        <w:adjustRightInd/>
        <w:snapToGrid/>
        <w:spacing w:line="360" w:lineRule="auto"/>
        <w:ind w:left="0"/>
        <w:textAlignment w:val="baseline"/>
        <w:rPr>
          <w:rFonts w:hint="default" w:ascii="Times New Roman" w:hAnsi="Times New Roman" w:eastAsia="方正仿宋_GB2312" w:cs="Times New Roman"/>
          <w:color w:val="auto"/>
          <w:sz w:val="28"/>
          <w:szCs w:val="28"/>
          <w:lang w:val="en-US" w:eastAsia="zh-CN"/>
        </w:rPr>
      </w:pPr>
    </w:p>
    <w:p w14:paraId="787245A4">
      <w:pPr>
        <w:spacing w:line="255" w:lineRule="auto"/>
        <w:rPr>
          <w:rFonts w:hint="default" w:ascii="Times New Roman" w:hAnsi="Times New Roman" w:cs="Times New Roman"/>
          <w:color w:val="auto"/>
          <w:sz w:val="21"/>
        </w:rPr>
      </w:pPr>
    </w:p>
    <w:p w14:paraId="297BAF96">
      <w:pPr>
        <w:spacing w:line="255" w:lineRule="auto"/>
        <w:rPr>
          <w:rFonts w:hint="default" w:ascii="Times New Roman" w:hAnsi="Times New Roman" w:cs="Times New Roman"/>
          <w:color w:val="auto"/>
          <w:sz w:val="21"/>
        </w:rPr>
      </w:pPr>
    </w:p>
    <w:p w14:paraId="2ADEFEE7">
      <w:pPr>
        <w:spacing w:line="256" w:lineRule="auto"/>
        <w:rPr>
          <w:rFonts w:hint="default" w:ascii="Times New Roman" w:hAnsi="Times New Roman" w:cs="Times New Roman"/>
          <w:color w:val="auto"/>
          <w:sz w:val="21"/>
        </w:rPr>
      </w:pPr>
    </w:p>
    <w:p w14:paraId="521A15CC">
      <w:pPr>
        <w:spacing w:line="256" w:lineRule="auto"/>
        <w:rPr>
          <w:rFonts w:hint="default" w:ascii="Times New Roman" w:hAnsi="Times New Roman" w:cs="Times New Roman"/>
          <w:color w:val="auto"/>
          <w:sz w:val="21"/>
        </w:rPr>
      </w:pPr>
    </w:p>
    <w:p w14:paraId="72B0C834">
      <w:pPr>
        <w:spacing w:line="256" w:lineRule="auto"/>
        <w:rPr>
          <w:rFonts w:hint="default" w:ascii="Times New Roman" w:hAnsi="Times New Roman" w:cs="Times New Roman"/>
          <w:color w:val="auto"/>
          <w:sz w:val="21"/>
        </w:rPr>
      </w:pPr>
    </w:p>
    <w:p w14:paraId="0B5C742B">
      <w:pPr>
        <w:spacing w:line="256" w:lineRule="auto"/>
        <w:rPr>
          <w:rFonts w:hint="default" w:ascii="Times New Roman" w:hAnsi="Times New Roman" w:cs="Times New Roman"/>
          <w:color w:val="auto"/>
          <w:sz w:val="21"/>
        </w:rPr>
      </w:pPr>
    </w:p>
    <w:p w14:paraId="62E50DD6">
      <w:pPr>
        <w:pStyle w:val="3"/>
        <w:keepNext w:val="0"/>
        <w:keepLines w:val="0"/>
        <w:pageBreakBefore w:val="0"/>
        <w:widowControl/>
        <w:kinsoku w:val="0"/>
        <w:wordWrap/>
        <w:overflowPunct/>
        <w:topLinePunct w:val="0"/>
        <w:autoSpaceDE w:val="0"/>
        <w:autoSpaceDN w:val="0"/>
        <w:bidi w:val="0"/>
        <w:adjustRightInd/>
        <w:snapToGrid/>
        <w:spacing w:line="700" w:lineRule="exact"/>
        <w:ind w:left="0"/>
        <w:jc w:val="center"/>
        <w:textAlignment w:val="baseline"/>
        <w:outlineLvl w:val="9"/>
        <w:rPr>
          <w:rFonts w:hint="default" w:ascii="Times New Roman" w:hAnsi="Times New Roman" w:eastAsia="方正小标宋_GBK" w:cs="Times New Roman"/>
          <w:b w:val="0"/>
          <w:bCs w:val="0"/>
          <w:color w:val="auto"/>
          <w:spacing w:val="10"/>
          <w:sz w:val="44"/>
          <w:szCs w:val="44"/>
          <w:lang w:val="en-US" w:eastAsia="zh-CN"/>
        </w:rPr>
      </w:pPr>
      <w:r>
        <w:rPr>
          <w:rFonts w:hint="eastAsia" w:ascii="Times New Roman" w:hAnsi="Times New Roman" w:eastAsia="方正小标宋_GBK" w:cs="Times New Roman"/>
          <w:b w:val="0"/>
          <w:bCs w:val="0"/>
          <w:color w:val="auto"/>
          <w:spacing w:val="10"/>
          <w:sz w:val="44"/>
          <w:szCs w:val="44"/>
          <w:lang w:val="en-US" w:eastAsia="zh-CN"/>
        </w:rPr>
        <w:t>铜川市</w:t>
      </w:r>
      <w:r>
        <w:rPr>
          <w:rFonts w:hint="default" w:ascii="Times New Roman" w:hAnsi="Times New Roman" w:eastAsia="方正小标宋_GBK" w:cs="Times New Roman"/>
          <w:b w:val="0"/>
          <w:bCs w:val="0"/>
          <w:color w:val="auto"/>
          <w:spacing w:val="10"/>
          <w:sz w:val="44"/>
          <w:szCs w:val="44"/>
        </w:rPr>
        <w:t>消防救援</w:t>
      </w:r>
      <w:r>
        <w:rPr>
          <w:rFonts w:hint="eastAsia" w:ascii="Times New Roman" w:hAnsi="Times New Roman" w:eastAsia="方正小标宋_GBK" w:cs="Times New Roman"/>
          <w:b w:val="0"/>
          <w:bCs w:val="0"/>
          <w:color w:val="auto"/>
          <w:spacing w:val="10"/>
          <w:sz w:val="44"/>
          <w:szCs w:val="44"/>
          <w:lang w:val="en-US" w:eastAsia="zh-CN"/>
        </w:rPr>
        <w:t>支</w:t>
      </w:r>
      <w:r>
        <w:rPr>
          <w:rFonts w:hint="default" w:ascii="Times New Roman" w:hAnsi="Times New Roman" w:eastAsia="方正小标宋_GBK" w:cs="Times New Roman"/>
          <w:b w:val="0"/>
          <w:bCs w:val="0"/>
          <w:color w:val="auto"/>
          <w:spacing w:val="10"/>
          <w:sz w:val="44"/>
          <w:szCs w:val="44"/>
        </w:rPr>
        <w:t>队</w:t>
      </w:r>
      <w:r>
        <w:rPr>
          <w:rFonts w:hint="eastAsia" w:ascii="Times New Roman" w:hAnsi="Times New Roman" w:eastAsia="方正小标宋_GBK" w:cs="Times New Roman"/>
          <w:b w:val="0"/>
          <w:bCs w:val="0"/>
          <w:color w:val="auto"/>
          <w:spacing w:val="10"/>
          <w:sz w:val="44"/>
          <w:szCs w:val="44"/>
          <w:lang w:val="en-US" w:eastAsia="zh-CN"/>
        </w:rPr>
        <w:t>2025</w:t>
      </w:r>
      <w:r>
        <w:rPr>
          <w:rFonts w:hint="default" w:ascii="Times New Roman" w:hAnsi="Times New Roman" w:eastAsia="方正小标宋_GBK" w:cs="Times New Roman"/>
          <w:b w:val="0"/>
          <w:bCs w:val="0"/>
          <w:color w:val="auto"/>
          <w:spacing w:val="10"/>
          <w:sz w:val="44"/>
          <w:szCs w:val="44"/>
        </w:rPr>
        <w:t>年</w:t>
      </w:r>
      <w:r>
        <w:rPr>
          <w:rFonts w:hint="eastAsia" w:ascii="Times New Roman" w:hAnsi="Times New Roman" w:eastAsia="方正小标宋_GBK" w:cs="Times New Roman"/>
          <w:b w:val="0"/>
          <w:bCs w:val="0"/>
          <w:color w:val="auto"/>
          <w:spacing w:val="10"/>
          <w:sz w:val="44"/>
          <w:szCs w:val="44"/>
        </w:rPr>
        <w:t>消防装备</w:t>
      </w:r>
    </w:p>
    <w:p w14:paraId="76F4F5CE">
      <w:pPr>
        <w:keepNext w:val="0"/>
        <w:keepLines w:val="0"/>
        <w:pageBreakBefore w:val="0"/>
        <w:widowControl/>
        <w:kinsoku w:val="0"/>
        <w:wordWrap/>
        <w:overflowPunct/>
        <w:topLinePunct w:val="0"/>
        <w:autoSpaceDE w:val="0"/>
        <w:autoSpaceDN w:val="0"/>
        <w:bidi w:val="0"/>
        <w:spacing w:line="700" w:lineRule="exact"/>
        <w:jc w:val="center"/>
        <w:textAlignment w:val="baseline"/>
        <w:rPr>
          <w:rFonts w:hint="default" w:ascii="Times New Roman" w:hAnsi="Times New Roman" w:eastAsia="方正小标宋_GBK" w:cs="Times New Roman"/>
          <w:b w:val="0"/>
          <w:bCs w:val="0"/>
          <w:color w:val="auto"/>
          <w:spacing w:val="10"/>
          <w:sz w:val="44"/>
          <w:szCs w:val="44"/>
        </w:rPr>
      </w:pPr>
      <w:r>
        <w:rPr>
          <w:rFonts w:hint="default" w:ascii="Times New Roman" w:hAnsi="Times New Roman" w:eastAsia="方正小标宋_GBK" w:cs="Times New Roman"/>
          <w:b w:val="0"/>
          <w:bCs w:val="0"/>
          <w:color w:val="auto"/>
          <w:spacing w:val="10"/>
          <w:sz w:val="44"/>
          <w:szCs w:val="44"/>
        </w:rPr>
        <w:t>采购项目（</w:t>
      </w:r>
      <w:r>
        <w:rPr>
          <w:rFonts w:hint="eastAsia" w:ascii="Times New Roman" w:hAnsi="Times New Roman" w:eastAsia="方正小标宋_GBK" w:cs="Times New Roman"/>
          <w:b w:val="0"/>
          <w:bCs w:val="0"/>
          <w:color w:val="auto"/>
          <w:spacing w:val="10"/>
          <w:sz w:val="44"/>
          <w:szCs w:val="44"/>
        </w:rPr>
        <w:t>第</w:t>
      </w:r>
      <w:r>
        <w:rPr>
          <w:rFonts w:hint="eastAsia" w:ascii="Times New Roman" w:hAnsi="Times New Roman" w:eastAsia="方正小标宋_GBK" w:cs="Times New Roman"/>
          <w:b w:val="0"/>
          <w:bCs w:val="0"/>
          <w:color w:val="auto"/>
          <w:spacing w:val="10"/>
          <w:sz w:val="44"/>
          <w:szCs w:val="44"/>
          <w:lang w:val="en-US" w:eastAsia="zh-CN"/>
        </w:rPr>
        <w:t>X</w:t>
      </w:r>
      <w:r>
        <w:rPr>
          <w:rFonts w:hint="eastAsia" w:ascii="Times New Roman" w:hAnsi="Times New Roman" w:eastAsia="方正小标宋_GBK" w:cs="Times New Roman"/>
          <w:b w:val="0"/>
          <w:bCs w:val="0"/>
          <w:color w:val="auto"/>
          <w:spacing w:val="10"/>
          <w:sz w:val="44"/>
          <w:szCs w:val="44"/>
        </w:rPr>
        <w:t>批次</w:t>
      </w:r>
      <w:r>
        <w:rPr>
          <w:rFonts w:hint="default" w:ascii="Times New Roman" w:hAnsi="Times New Roman" w:eastAsia="方正小标宋_GBK" w:cs="Times New Roman"/>
          <w:b w:val="0"/>
          <w:bCs w:val="0"/>
          <w:color w:val="auto"/>
          <w:spacing w:val="10"/>
          <w:sz w:val="44"/>
          <w:szCs w:val="44"/>
        </w:rPr>
        <w:t>）</w:t>
      </w:r>
    </w:p>
    <w:p w14:paraId="3BD40DB9">
      <w:pPr>
        <w:spacing w:line="268" w:lineRule="auto"/>
        <w:rPr>
          <w:rFonts w:hint="default" w:ascii="Times New Roman" w:hAnsi="Times New Roman" w:cs="Times New Roman"/>
          <w:color w:val="auto"/>
          <w:sz w:val="21"/>
        </w:rPr>
      </w:pPr>
      <w:bookmarkStart w:id="0" w:name="bookmark18"/>
      <w:bookmarkEnd w:id="0"/>
    </w:p>
    <w:p w14:paraId="63526616">
      <w:pPr>
        <w:spacing w:line="269" w:lineRule="auto"/>
        <w:rPr>
          <w:rFonts w:hint="default" w:ascii="Times New Roman" w:hAnsi="Times New Roman" w:cs="Times New Roman"/>
          <w:color w:val="auto"/>
          <w:sz w:val="21"/>
        </w:rPr>
      </w:pPr>
    </w:p>
    <w:p w14:paraId="4DA6CB42">
      <w:pPr>
        <w:spacing w:line="269" w:lineRule="auto"/>
        <w:rPr>
          <w:rFonts w:hint="default" w:ascii="Times New Roman" w:hAnsi="Times New Roman" w:cs="Times New Roman"/>
          <w:color w:val="auto"/>
          <w:sz w:val="21"/>
        </w:rPr>
      </w:pPr>
    </w:p>
    <w:p w14:paraId="54CFFFE5">
      <w:pPr>
        <w:spacing w:line="269" w:lineRule="auto"/>
        <w:rPr>
          <w:rFonts w:hint="default" w:ascii="Times New Roman" w:hAnsi="Times New Roman" w:cs="Times New Roman"/>
          <w:color w:val="auto"/>
          <w:sz w:val="21"/>
        </w:rPr>
      </w:pPr>
    </w:p>
    <w:p w14:paraId="04898AEF">
      <w:pPr>
        <w:spacing w:line="269" w:lineRule="auto"/>
        <w:rPr>
          <w:rFonts w:hint="default" w:ascii="Times New Roman" w:hAnsi="Times New Roman" w:cs="Times New Roman"/>
          <w:color w:val="auto"/>
          <w:sz w:val="21"/>
        </w:rPr>
      </w:pPr>
    </w:p>
    <w:p w14:paraId="595EDDB4">
      <w:pPr>
        <w:spacing w:line="266" w:lineRule="auto"/>
        <w:rPr>
          <w:rFonts w:hint="default" w:ascii="Times New Roman" w:hAnsi="Times New Roman" w:cs="Times New Roman"/>
          <w:color w:val="auto"/>
          <w:sz w:val="21"/>
        </w:rPr>
      </w:pPr>
    </w:p>
    <w:p w14:paraId="36CAC55F">
      <w:pPr>
        <w:spacing w:line="267" w:lineRule="auto"/>
        <w:rPr>
          <w:rFonts w:hint="default" w:ascii="Times New Roman" w:hAnsi="Times New Roman" w:cs="Times New Roman"/>
          <w:color w:val="auto"/>
          <w:sz w:val="21"/>
        </w:rPr>
      </w:pPr>
    </w:p>
    <w:p w14:paraId="220F8A42">
      <w:pPr>
        <w:spacing w:line="267" w:lineRule="auto"/>
        <w:rPr>
          <w:rFonts w:hint="default" w:ascii="Times New Roman" w:hAnsi="Times New Roman" w:cs="Times New Roman"/>
          <w:color w:val="auto"/>
          <w:sz w:val="21"/>
        </w:rPr>
      </w:pPr>
    </w:p>
    <w:p w14:paraId="173BA340">
      <w:pPr>
        <w:spacing w:line="267" w:lineRule="auto"/>
        <w:rPr>
          <w:rFonts w:hint="default" w:ascii="Times New Roman" w:hAnsi="Times New Roman" w:cs="Times New Roman"/>
          <w:color w:val="auto"/>
          <w:sz w:val="21"/>
        </w:rPr>
      </w:pPr>
    </w:p>
    <w:p w14:paraId="3E541CAA">
      <w:pPr>
        <w:spacing w:before="140" w:line="222" w:lineRule="auto"/>
        <w:ind w:left="0" w:leftChars="0" w:firstLine="0" w:firstLineChars="0"/>
        <w:jc w:val="center"/>
        <w:rPr>
          <w:rFonts w:hint="default" w:ascii="Times New Roman" w:hAnsi="Times New Roman" w:eastAsia="方正小标宋_GBK" w:cs="Times New Roman"/>
          <w:b w:val="0"/>
          <w:bCs w:val="0"/>
          <w:color w:val="auto"/>
          <w:spacing w:val="-14"/>
          <w:sz w:val="43"/>
          <w:szCs w:val="43"/>
        </w:rPr>
      </w:pPr>
      <w:r>
        <w:rPr>
          <w:rFonts w:hint="default" w:ascii="Times New Roman" w:hAnsi="Times New Roman" w:eastAsia="方正小标宋_GBK" w:cs="Times New Roman"/>
          <w:b w:val="0"/>
          <w:bCs w:val="0"/>
          <w:color w:val="auto"/>
          <w:spacing w:val="-14"/>
          <w:sz w:val="43"/>
          <w:szCs w:val="43"/>
        </w:rPr>
        <w:t>供</w:t>
      </w:r>
      <w:r>
        <w:rPr>
          <w:rFonts w:hint="default" w:ascii="Times New Roman" w:hAnsi="Times New Roman" w:eastAsia="方正小标宋_GBK" w:cs="Times New Roman"/>
          <w:b w:val="0"/>
          <w:bCs w:val="0"/>
          <w:color w:val="auto"/>
          <w:spacing w:val="41"/>
          <w:sz w:val="43"/>
          <w:szCs w:val="43"/>
        </w:rPr>
        <w:t xml:space="preserve"> </w:t>
      </w:r>
      <w:r>
        <w:rPr>
          <w:rFonts w:hint="default" w:ascii="Times New Roman" w:hAnsi="Times New Roman" w:eastAsia="方正小标宋_GBK" w:cs="Times New Roman"/>
          <w:b w:val="0"/>
          <w:bCs w:val="0"/>
          <w:color w:val="auto"/>
          <w:spacing w:val="-14"/>
          <w:sz w:val="43"/>
          <w:szCs w:val="43"/>
        </w:rPr>
        <w:t>货</w:t>
      </w:r>
      <w:r>
        <w:rPr>
          <w:rFonts w:hint="default" w:ascii="Times New Roman" w:hAnsi="Times New Roman" w:eastAsia="方正小标宋_GBK" w:cs="Times New Roman"/>
          <w:b w:val="0"/>
          <w:bCs w:val="0"/>
          <w:color w:val="auto"/>
          <w:spacing w:val="34"/>
          <w:sz w:val="43"/>
          <w:szCs w:val="43"/>
        </w:rPr>
        <w:t xml:space="preserve"> </w:t>
      </w:r>
      <w:r>
        <w:rPr>
          <w:rFonts w:hint="default" w:ascii="Times New Roman" w:hAnsi="Times New Roman" w:eastAsia="方正小标宋_GBK" w:cs="Times New Roman"/>
          <w:b w:val="0"/>
          <w:bCs w:val="0"/>
          <w:color w:val="auto"/>
          <w:spacing w:val="-14"/>
          <w:sz w:val="43"/>
          <w:szCs w:val="43"/>
        </w:rPr>
        <w:t>合</w:t>
      </w:r>
      <w:r>
        <w:rPr>
          <w:rFonts w:hint="default" w:ascii="Times New Roman" w:hAnsi="Times New Roman" w:eastAsia="方正小标宋_GBK" w:cs="Times New Roman"/>
          <w:b w:val="0"/>
          <w:bCs w:val="0"/>
          <w:color w:val="auto"/>
          <w:spacing w:val="73"/>
          <w:sz w:val="43"/>
          <w:szCs w:val="43"/>
        </w:rPr>
        <w:t xml:space="preserve"> </w:t>
      </w:r>
      <w:r>
        <w:rPr>
          <w:rFonts w:hint="default" w:ascii="Times New Roman" w:hAnsi="Times New Roman" w:eastAsia="方正小标宋_GBK" w:cs="Times New Roman"/>
          <w:b w:val="0"/>
          <w:bCs w:val="0"/>
          <w:color w:val="auto"/>
          <w:spacing w:val="-14"/>
          <w:sz w:val="43"/>
          <w:szCs w:val="43"/>
        </w:rPr>
        <w:t>同</w:t>
      </w:r>
    </w:p>
    <w:p w14:paraId="0CF66F40">
      <w:pPr>
        <w:spacing w:line="260" w:lineRule="auto"/>
        <w:rPr>
          <w:rFonts w:hint="default" w:ascii="Times New Roman" w:hAnsi="Times New Roman" w:cs="Times New Roman"/>
          <w:color w:val="auto"/>
          <w:sz w:val="21"/>
        </w:rPr>
      </w:pPr>
    </w:p>
    <w:p w14:paraId="7D6C9767">
      <w:pPr>
        <w:spacing w:line="261" w:lineRule="auto"/>
        <w:rPr>
          <w:rFonts w:hint="default" w:ascii="Times New Roman" w:hAnsi="Times New Roman" w:cs="Times New Roman"/>
          <w:color w:val="auto"/>
          <w:sz w:val="21"/>
        </w:rPr>
      </w:pPr>
    </w:p>
    <w:p w14:paraId="3E39CC16">
      <w:pPr>
        <w:spacing w:line="261" w:lineRule="auto"/>
        <w:rPr>
          <w:rFonts w:hint="default" w:ascii="Times New Roman" w:hAnsi="Times New Roman" w:cs="Times New Roman"/>
          <w:color w:val="auto"/>
          <w:sz w:val="21"/>
        </w:rPr>
      </w:pPr>
    </w:p>
    <w:p w14:paraId="72637417">
      <w:pPr>
        <w:spacing w:line="261" w:lineRule="auto"/>
        <w:rPr>
          <w:rFonts w:hint="default" w:ascii="Times New Roman" w:hAnsi="Times New Roman" w:cs="Times New Roman"/>
          <w:color w:val="auto"/>
          <w:sz w:val="21"/>
        </w:rPr>
      </w:pPr>
    </w:p>
    <w:p w14:paraId="29C659F9">
      <w:pPr>
        <w:spacing w:line="261" w:lineRule="auto"/>
        <w:rPr>
          <w:rFonts w:hint="default" w:ascii="Times New Roman" w:hAnsi="Times New Roman" w:cs="Times New Roman"/>
          <w:color w:val="auto"/>
          <w:sz w:val="21"/>
        </w:rPr>
      </w:pPr>
    </w:p>
    <w:p w14:paraId="1E5EB433">
      <w:pPr>
        <w:spacing w:line="261" w:lineRule="auto"/>
        <w:jc w:val="center"/>
        <w:rPr>
          <w:rFonts w:hint="default" w:ascii="Times New Roman" w:hAnsi="Times New Roman" w:cs="Times New Roman"/>
          <w:color w:val="auto"/>
          <w:sz w:val="21"/>
        </w:rPr>
      </w:pPr>
    </w:p>
    <w:p w14:paraId="29D7A4B9">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r>
        <w:rPr>
          <w:rFonts w:hint="default" w:ascii="Times New Roman" w:hAnsi="Times New Roman" w:eastAsia="方正仿宋_GBK" w:cs="Times New Roman"/>
          <w:b w:val="0"/>
          <w:bCs w:val="0"/>
          <w:color w:val="auto"/>
          <w:spacing w:val="2"/>
          <w:sz w:val="32"/>
          <w:szCs w:val="32"/>
          <w:lang w:val="en-US" w:eastAsia="zh-CN"/>
        </w:rPr>
        <w:t>甲  方：</w:t>
      </w:r>
      <w:r>
        <w:rPr>
          <w:rFonts w:hint="eastAsia" w:ascii="Times New Roman" w:hAnsi="Times New Roman" w:eastAsia="方正仿宋_GBK" w:cs="Times New Roman"/>
          <w:b w:val="0"/>
          <w:bCs w:val="0"/>
          <w:color w:val="auto"/>
          <w:spacing w:val="2"/>
          <w:sz w:val="32"/>
          <w:szCs w:val="32"/>
          <w:u w:val="single"/>
          <w:lang w:val="en-US" w:eastAsia="zh-CN"/>
        </w:rPr>
        <w:t>铜川</w:t>
      </w:r>
      <w:r>
        <w:rPr>
          <w:rFonts w:hint="default" w:ascii="Times New Roman" w:hAnsi="Times New Roman" w:eastAsia="方正仿宋_GBK" w:cs="Times New Roman"/>
          <w:b w:val="0"/>
          <w:bCs w:val="0"/>
          <w:color w:val="auto"/>
          <w:spacing w:val="2"/>
          <w:sz w:val="32"/>
          <w:szCs w:val="32"/>
          <w:u w:val="single"/>
          <w:lang w:val="en-US" w:eastAsia="zh-CN"/>
        </w:rPr>
        <w:t>市消防救援支队</w:t>
      </w:r>
    </w:p>
    <w:p w14:paraId="40804924">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u w:val="single"/>
          <w:lang w:val="en-US" w:eastAsia="zh-CN"/>
        </w:rPr>
      </w:pPr>
    </w:p>
    <w:p w14:paraId="21504C38">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2"/>
          <w:sz w:val="32"/>
          <w:szCs w:val="32"/>
          <w:lang w:val="en-US" w:eastAsia="zh-CN"/>
        </w:rPr>
      </w:pPr>
      <w:r>
        <w:rPr>
          <w:rFonts w:hint="default" w:ascii="Times New Roman" w:hAnsi="Times New Roman" w:eastAsia="方正仿宋_GBK" w:cs="Times New Roman"/>
          <w:b w:val="0"/>
          <w:bCs w:val="0"/>
          <w:color w:val="auto"/>
          <w:spacing w:val="2"/>
          <w:sz w:val="32"/>
          <w:szCs w:val="32"/>
          <w:lang w:val="en-US" w:eastAsia="zh-CN"/>
        </w:rPr>
        <w:t>乙  方 ：</w:t>
      </w:r>
      <w:r>
        <w:rPr>
          <w:rFonts w:hint="eastAsia" w:ascii="Times New Roman" w:hAnsi="Times New Roman" w:eastAsia="方正仿宋_GBK" w:cs="Times New Roman"/>
          <w:color w:val="auto"/>
          <w:spacing w:val="-2"/>
          <w:sz w:val="32"/>
          <w:szCs w:val="32"/>
          <w:u w:val="single" w:color="auto"/>
          <w:lang w:val="en-US" w:eastAsia="zh-CN"/>
        </w:rPr>
        <w:t>XXXXXXXXXX</w:t>
      </w:r>
      <w:r>
        <w:rPr>
          <w:rFonts w:hint="default" w:ascii="Times New Roman" w:hAnsi="Times New Roman" w:eastAsia="方正仿宋_GBK" w:cs="Times New Roman"/>
          <w:color w:val="auto"/>
          <w:spacing w:val="-2"/>
          <w:sz w:val="32"/>
          <w:szCs w:val="32"/>
          <w:u w:val="single" w:color="auto"/>
          <w:lang w:val="en-US" w:eastAsia="zh-CN"/>
        </w:rPr>
        <w:t>公司</w:t>
      </w:r>
    </w:p>
    <w:p w14:paraId="70A80A43">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default" w:ascii="Times New Roman" w:hAnsi="Times New Roman" w:eastAsia="方正仿宋_GBK" w:cs="Times New Roman"/>
          <w:b w:val="0"/>
          <w:bCs w:val="0"/>
          <w:color w:val="auto"/>
          <w:spacing w:val="2"/>
          <w:sz w:val="32"/>
          <w:szCs w:val="32"/>
          <w:lang w:val="en-US" w:eastAsia="zh-CN"/>
        </w:rPr>
      </w:pPr>
    </w:p>
    <w:p w14:paraId="3801C21D">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default" w:ascii="Times New Roman" w:hAnsi="Times New Roman" w:eastAsia="方正仿宋_GBK" w:cs="Times New Roman"/>
          <w:b w:val="0"/>
          <w:bCs w:val="0"/>
          <w:color w:val="auto"/>
          <w:spacing w:val="-3"/>
          <w:sz w:val="32"/>
          <w:szCs w:val="32"/>
        </w:rPr>
      </w:pPr>
      <w:r>
        <w:rPr>
          <w:rFonts w:hint="eastAsia" w:ascii="Times New Roman" w:hAnsi="Times New Roman" w:eastAsia="方正仿宋_GBK" w:cs="Times New Roman"/>
          <w:b w:val="0"/>
          <w:bCs w:val="0"/>
          <w:color w:val="auto"/>
          <w:spacing w:val="2"/>
          <w:sz w:val="32"/>
          <w:szCs w:val="32"/>
          <w:lang w:val="en-US" w:eastAsia="zh-CN"/>
        </w:rPr>
        <w:t>2026</w:t>
      </w:r>
      <w:r>
        <w:rPr>
          <w:rFonts w:hint="default" w:ascii="Times New Roman" w:hAnsi="Times New Roman" w:eastAsia="方正仿宋_GBK" w:cs="Times New Roman"/>
          <w:b w:val="0"/>
          <w:bCs w:val="0"/>
          <w:color w:val="auto"/>
          <w:spacing w:val="2"/>
          <w:sz w:val="32"/>
          <w:szCs w:val="32"/>
          <w:lang w:val="en-US" w:eastAsia="zh-CN"/>
        </w:rPr>
        <w:t>年</w:t>
      </w:r>
      <w:r>
        <w:rPr>
          <w:rFonts w:hint="eastAsia" w:ascii="Times New Roman" w:hAnsi="Times New Roman" w:eastAsia="方正仿宋_GBK" w:cs="Times New Roman"/>
          <w:b w:val="0"/>
          <w:bCs w:val="0"/>
          <w:color w:val="auto"/>
          <w:spacing w:val="2"/>
          <w:sz w:val="32"/>
          <w:szCs w:val="32"/>
          <w:lang w:val="en-US" w:eastAsia="zh-CN"/>
        </w:rPr>
        <w:t>X</w:t>
      </w:r>
      <w:r>
        <w:rPr>
          <w:rFonts w:hint="default" w:ascii="Times New Roman" w:hAnsi="Times New Roman" w:eastAsia="方正仿宋_GBK" w:cs="Times New Roman"/>
          <w:b w:val="0"/>
          <w:bCs w:val="0"/>
          <w:color w:val="auto"/>
          <w:spacing w:val="2"/>
          <w:sz w:val="32"/>
          <w:szCs w:val="32"/>
          <w:lang w:val="en-US" w:eastAsia="zh-CN"/>
        </w:rPr>
        <w:t>月</w:t>
      </w:r>
    </w:p>
    <w:p w14:paraId="76DB25E7">
      <w:pPr>
        <w:keepNext w:val="0"/>
        <w:keepLines w:val="0"/>
        <w:pageBreakBefore w:val="0"/>
        <w:widowControl/>
        <w:kinsoku w:val="0"/>
        <w:wordWrap/>
        <w:overflowPunct/>
        <w:topLinePunct w:val="0"/>
        <w:autoSpaceDE w:val="0"/>
        <w:autoSpaceDN w:val="0"/>
        <w:bidi w:val="0"/>
        <w:adjustRightInd/>
        <w:snapToGrid/>
        <w:spacing w:line="360" w:lineRule="auto"/>
        <w:ind w:right="0"/>
        <w:textAlignment w:val="baseline"/>
        <w:rPr>
          <w:rFonts w:hint="eastAsia" w:ascii="Times New Roman" w:hAnsi="Times New Roman" w:eastAsia="华文仿宋" w:cs="Times New Roman"/>
          <w:color w:val="auto"/>
          <w:sz w:val="28"/>
          <w:szCs w:val="28"/>
          <w:highlight w:val="yellow"/>
          <w:lang w:val="en-US" w:eastAsia="zh-CN"/>
        </w:rPr>
      </w:pPr>
    </w:p>
    <w:p w14:paraId="33FFB4FD">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铜川市</w:t>
      </w:r>
      <w:r>
        <w:rPr>
          <w:rFonts w:hint="default" w:ascii="Times New Roman" w:hAnsi="Times New Roman" w:eastAsia="方正仿宋_GBK" w:cs="Times New Roman"/>
          <w:snapToGrid w:val="0"/>
          <w:color w:val="auto"/>
          <w:kern w:val="0"/>
          <w:sz w:val="28"/>
          <w:szCs w:val="28"/>
          <w:lang w:val="en-US" w:eastAsia="en-US" w:bidi="ar-SA"/>
        </w:rPr>
        <w:t>消防救援</w:t>
      </w:r>
      <w:r>
        <w:rPr>
          <w:rFonts w:hint="eastAsia" w:ascii="Times New Roman" w:hAnsi="Times New Roman" w:eastAsia="方正仿宋_GBK" w:cs="Times New Roman"/>
          <w:snapToGrid w:val="0"/>
          <w:color w:val="auto"/>
          <w:kern w:val="0"/>
          <w:sz w:val="28"/>
          <w:szCs w:val="28"/>
          <w:lang w:val="en-US" w:eastAsia="zh-CN" w:bidi="ar-SA"/>
        </w:rPr>
        <w:t>支</w:t>
      </w:r>
      <w:r>
        <w:rPr>
          <w:rFonts w:hint="default" w:ascii="Times New Roman" w:hAnsi="Times New Roman" w:eastAsia="方正仿宋_GBK" w:cs="Times New Roman"/>
          <w:snapToGrid w:val="0"/>
          <w:color w:val="auto"/>
          <w:kern w:val="0"/>
          <w:sz w:val="28"/>
          <w:szCs w:val="28"/>
          <w:lang w:val="en-US" w:eastAsia="en-US" w:bidi="ar-SA"/>
        </w:rPr>
        <w:t>队2025年消防装备采购项目（第</w:t>
      </w:r>
      <w:r>
        <w:rPr>
          <w:rFonts w:hint="eastAsia" w:ascii="Times New Roman" w:hAnsi="Times New Roman" w:eastAsia="方正仿宋_GBK" w:cs="Times New Roman"/>
          <w:snapToGrid w:val="0"/>
          <w:color w:val="auto"/>
          <w:kern w:val="0"/>
          <w:sz w:val="28"/>
          <w:szCs w:val="28"/>
          <w:lang w:val="en-US" w:eastAsia="zh-CN" w:bidi="ar-SA"/>
        </w:rPr>
        <w:t>X</w:t>
      </w:r>
      <w:r>
        <w:rPr>
          <w:rFonts w:hint="default" w:ascii="Times New Roman" w:hAnsi="Times New Roman" w:eastAsia="方正仿宋_GBK" w:cs="Times New Roman"/>
          <w:snapToGrid w:val="0"/>
          <w:color w:val="auto"/>
          <w:kern w:val="0"/>
          <w:sz w:val="28"/>
          <w:szCs w:val="28"/>
          <w:lang w:val="en-US" w:eastAsia="en-US" w:bidi="ar-SA"/>
        </w:rPr>
        <w:t>批次），在财政部</w:t>
      </w:r>
      <w:r>
        <w:rPr>
          <w:rFonts w:hint="eastAsia" w:ascii="Times New Roman" w:hAnsi="Times New Roman" w:eastAsia="方正仿宋_GBK" w:cs="Times New Roman"/>
          <w:snapToGrid w:val="0"/>
          <w:color w:val="auto"/>
          <w:kern w:val="0"/>
          <w:sz w:val="28"/>
          <w:szCs w:val="28"/>
          <w:lang w:val="en-US" w:eastAsia="zh-CN" w:bidi="ar-SA"/>
        </w:rPr>
        <w:t>门</w:t>
      </w:r>
      <w:r>
        <w:rPr>
          <w:rFonts w:hint="default" w:ascii="Times New Roman" w:hAnsi="Times New Roman" w:eastAsia="方正仿宋_GBK" w:cs="Times New Roman"/>
          <w:snapToGrid w:val="0"/>
          <w:color w:val="auto"/>
          <w:kern w:val="0"/>
          <w:sz w:val="28"/>
          <w:szCs w:val="28"/>
          <w:lang w:val="en-US" w:eastAsia="en-US" w:bidi="ar-SA"/>
        </w:rPr>
        <w:t>监督下，由</w:t>
      </w:r>
      <w:r>
        <w:rPr>
          <w:rFonts w:hint="eastAsia" w:ascii="方正仿宋_GBK" w:hAnsi="方正仿宋_GBK" w:eastAsia="方正仿宋_GBK" w:cs="方正仿宋_GBK"/>
          <w:color w:val="auto"/>
          <w:sz w:val="28"/>
          <w:szCs w:val="28"/>
          <w:u w:val="single"/>
        </w:rPr>
        <w:t>陕西省</w:t>
      </w:r>
      <w:r>
        <w:rPr>
          <w:rFonts w:hint="eastAsia" w:ascii="方正仿宋_GBK" w:hAnsi="方正仿宋_GBK" w:eastAsia="方正仿宋_GBK" w:cs="方正仿宋_GBK"/>
          <w:color w:val="auto"/>
          <w:sz w:val="28"/>
          <w:szCs w:val="28"/>
          <w:u w:val="single"/>
          <w:lang w:val="en-US" w:eastAsia="zh-CN"/>
        </w:rPr>
        <w:t>铜川市</w:t>
      </w:r>
      <w:r>
        <w:rPr>
          <w:rFonts w:hint="eastAsia" w:ascii="方正仿宋_GBK" w:hAnsi="方正仿宋_GBK" w:eastAsia="方正仿宋_GBK" w:cs="方正仿宋_GBK"/>
          <w:color w:val="auto"/>
          <w:sz w:val="28"/>
          <w:szCs w:val="28"/>
          <w:u w:val="single"/>
        </w:rPr>
        <w:t>政府采购中心</w:t>
      </w:r>
      <w:r>
        <w:rPr>
          <w:rFonts w:hint="default" w:ascii="Times New Roman" w:hAnsi="Times New Roman" w:eastAsia="方正仿宋_GBK" w:cs="Times New Roman"/>
          <w:snapToGrid w:val="0"/>
          <w:color w:val="auto"/>
          <w:kern w:val="0"/>
          <w:sz w:val="28"/>
          <w:szCs w:val="28"/>
          <w:lang w:val="en-US" w:eastAsia="en-US" w:bidi="ar-SA"/>
        </w:rPr>
        <w:t>组织公开招标，选定</w:t>
      </w:r>
      <w:r>
        <w:rPr>
          <w:rFonts w:hint="eastAsia" w:ascii="Times New Roman" w:hAnsi="Times New Roman" w:eastAsia="方正仿宋_GBK" w:cs="Times New Roman"/>
          <w:snapToGrid w:val="0"/>
          <w:color w:val="auto"/>
          <w:kern w:val="0"/>
          <w:sz w:val="28"/>
          <w:szCs w:val="28"/>
          <w:u w:val="single"/>
          <w:lang w:val="en-US" w:eastAsia="zh-CN" w:bidi="ar-SA"/>
        </w:rPr>
        <w:t>XXXXXX</w:t>
      </w:r>
      <w:r>
        <w:rPr>
          <w:rFonts w:hint="default" w:ascii="Times New Roman" w:hAnsi="Times New Roman" w:eastAsia="方正仿宋_GBK" w:cs="Times New Roman"/>
          <w:snapToGrid w:val="0"/>
          <w:color w:val="auto"/>
          <w:kern w:val="0"/>
          <w:sz w:val="28"/>
          <w:szCs w:val="28"/>
          <w:u w:val="single"/>
          <w:lang w:val="en-US" w:eastAsia="zh-CN" w:bidi="ar-SA"/>
        </w:rPr>
        <w:t>公司</w:t>
      </w:r>
      <w:r>
        <w:rPr>
          <w:rFonts w:hint="default" w:ascii="Times New Roman" w:hAnsi="Times New Roman" w:eastAsia="方正仿宋_GBK" w:cs="Times New Roman"/>
          <w:snapToGrid w:val="0"/>
          <w:color w:val="auto"/>
          <w:kern w:val="0"/>
          <w:sz w:val="28"/>
          <w:szCs w:val="28"/>
          <w:lang w:val="en-US" w:eastAsia="en-US" w:bidi="ar-SA"/>
        </w:rPr>
        <w:t>为</w:t>
      </w:r>
      <w:r>
        <w:rPr>
          <w:rFonts w:hint="eastAsia" w:ascii="Times New Roman" w:hAnsi="Times New Roman" w:eastAsia="方正仿宋_GBK" w:cs="Times New Roman"/>
          <w:snapToGrid w:val="0"/>
          <w:color w:val="auto"/>
          <w:kern w:val="0"/>
          <w:sz w:val="28"/>
          <w:szCs w:val="28"/>
          <w:lang w:val="en-US" w:eastAsia="zh-CN" w:bidi="ar-SA"/>
        </w:rPr>
        <w:t>（第X</w:t>
      </w:r>
      <w:bookmarkStart w:id="17" w:name="_GoBack"/>
      <w:bookmarkEnd w:id="17"/>
      <w:r>
        <w:rPr>
          <w:rFonts w:hint="eastAsia" w:ascii="Times New Roman" w:hAnsi="Times New Roman" w:eastAsia="方正仿宋_GBK" w:cs="Times New Roman"/>
          <w:snapToGrid w:val="0"/>
          <w:color w:val="auto"/>
          <w:kern w:val="0"/>
          <w:sz w:val="28"/>
          <w:szCs w:val="28"/>
          <w:lang w:val="en-US" w:eastAsia="zh-CN" w:bidi="ar-SA"/>
        </w:rPr>
        <w:t>批次）</w:t>
      </w:r>
      <w:r>
        <w:rPr>
          <w:rFonts w:hint="default" w:ascii="Times New Roman" w:hAnsi="Times New Roman" w:eastAsia="方正仿宋_GBK" w:cs="Times New Roman"/>
          <w:snapToGrid w:val="0"/>
          <w:color w:val="auto"/>
          <w:kern w:val="0"/>
          <w:sz w:val="28"/>
          <w:szCs w:val="28"/>
          <w:lang w:val="en-US" w:eastAsia="en-US" w:bidi="ar-SA"/>
        </w:rPr>
        <w:t>中标人。经甲、乙双方共同协商，达成如下合同条款。</w:t>
      </w:r>
    </w:p>
    <w:p w14:paraId="13A9A7C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1" w:name="一、合同内容"/>
      <w:bookmarkEnd w:id="1"/>
      <w:r>
        <w:rPr>
          <w:rFonts w:hint="default" w:ascii="Times New Roman" w:hAnsi="Times New Roman" w:eastAsia="方正黑体_GBK" w:cs="Times New Roman"/>
          <w:b w:val="0"/>
          <w:bCs w:val="0"/>
          <w:snapToGrid w:val="0"/>
          <w:color w:val="auto"/>
          <w:kern w:val="0"/>
          <w:sz w:val="32"/>
          <w:szCs w:val="32"/>
          <w:lang w:val="en-US" w:eastAsia="zh-CN" w:bidi="ar-SA"/>
        </w:rPr>
        <w:t>一、合同内容</w:t>
      </w:r>
    </w:p>
    <w:p w14:paraId="417ADCE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l、乙方负责按合同中确定的设备名称、设备品牌、制造商、规格型号、数量及配套内容进行供货；按时运到甲方指定的交货地点，负责产品到货后安装调试工作，达到正常使用；负责做好售后服务工作。</w:t>
      </w:r>
    </w:p>
    <w:p w14:paraId="0988A714">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2、招标文件、乙方的投标文件及评标过程中的澄清、承诺内容均作为本合同的组成部分，具有同等法律效力。</w:t>
      </w:r>
    </w:p>
    <w:p w14:paraId="375369D4">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2" w:name="二、合同价款及质保期"/>
      <w:bookmarkEnd w:id="2"/>
      <w:r>
        <w:rPr>
          <w:rFonts w:hint="default" w:ascii="Times New Roman" w:hAnsi="Times New Roman" w:eastAsia="方正黑体_GBK" w:cs="Times New Roman"/>
          <w:b w:val="0"/>
          <w:bCs w:val="0"/>
          <w:snapToGrid w:val="0"/>
          <w:color w:val="auto"/>
          <w:kern w:val="0"/>
          <w:sz w:val="32"/>
          <w:szCs w:val="32"/>
          <w:lang w:val="en-US" w:eastAsia="zh-CN" w:bidi="ar-SA"/>
        </w:rPr>
        <w:t>二、合同价款及质保期</w:t>
      </w:r>
    </w:p>
    <w:p w14:paraId="603D8F1C">
      <w:pPr>
        <w:pStyle w:val="3"/>
        <w:keepNext w:val="0"/>
        <w:keepLines w:val="0"/>
        <w:pageBreakBefore w:val="0"/>
        <w:widowControl/>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1、合同总价：</w:t>
      </w:r>
      <w:r>
        <w:rPr>
          <w:rFonts w:hint="eastAsia" w:ascii="Times New Roman" w:hAnsi="Times New Roman" w:eastAsia="方正仿宋_GBK" w:cs="Times New Roman"/>
          <w:snapToGrid w:val="0"/>
          <w:color w:val="auto"/>
          <w:kern w:val="0"/>
          <w:sz w:val="28"/>
          <w:szCs w:val="28"/>
          <w:lang w:val="en-US" w:eastAsia="zh-CN" w:bidi="ar-SA"/>
        </w:rPr>
        <w:t>00</w:t>
      </w:r>
      <w:r>
        <w:rPr>
          <w:rFonts w:hint="eastAsia" w:ascii="Times New Roman" w:hAnsi="Times New Roman" w:eastAsia="方正仿宋_GBK" w:cs="Times New Roman"/>
          <w:snapToGrid w:val="0"/>
          <w:color w:val="auto"/>
          <w:kern w:val="0"/>
          <w:sz w:val="28"/>
          <w:szCs w:val="28"/>
          <w:u w:val="single"/>
          <w:lang w:val="en-US" w:eastAsia="zh-CN" w:bidi="ar-SA"/>
        </w:rPr>
        <w:t>00.00元</w:t>
      </w:r>
      <w:r>
        <w:rPr>
          <w:rFonts w:hint="eastAsia" w:ascii="Times New Roman" w:hAnsi="Times New Roman" w:eastAsia="方正仿宋_GBK" w:cs="Times New Roman"/>
          <w:snapToGrid w:val="0"/>
          <w:color w:val="auto"/>
          <w:kern w:val="0"/>
          <w:sz w:val="28"/>
          <w:szCs w:val="28"/>
          <w:u w:val="non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单位：元</w:t>
      </w:r>
    </w:p>
    <w:tbl>
      <w:tblPr>
        <w:tblStyle w:val="4"/>
        <w:tblW w:w="9417" w:type="dxa"/>
        <w:tblInd w:w="-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25"/>
        <w:gridCol w:w="1000"/>
        <w:gridCol w:w="1884"/>
        <w:gridCol w:w="1133"/>
        <w:gridCol w:w="667"/>
        <w:gridCol w:w="800"/>
        <w:gridCol w:w="633"/>
        <w:gridCol w:w="1017"/>
        <w:gridCol w:w="1058"/>
      </w:tblGrid>
      <w:tr w14:paraId="45958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2" w:hRule="atLeast"/>
        </w:trPr>
        <w:tc>
          <w:tcPr>
            <w:tcW w:w="1225" w:type="dxa"/>
            <w:vAlign w:val="center"/>
          </w:tcPr>
          <w:p w14:paraId="17F1F4C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设备名称</w:t>
            </w:r>
          </w:p>
        </w:tc>
        <w:tc>
          <w:tcPr>
            <w:tcW w:w="1000" w:type="dxa"/>
            <w:vAlign w:val="center"/>
          </w:tcPr>
          <w:p w14:paraId="624CCC1D">
            <w:pPr>
              <w:pStyle w:val="6"/>
              <w:keepNext w:val="0"/>
              <w:keepLines w:val="0"/>
              <w:pageBreakBefore w:val="0"/>
              <w:widowControl/>
              <w:kinsoku w:val="0"/>
              <w:wordWrap/>
              <w:overflowPunct/>
              <w:topLinePunct w:val="0"/>
              <w:autoSpaceDE w:val="0"/>
              <w:autoSpaceDN w:val="0"/>
              <w:bidi w:val="0"/>
              <w:spacing w:before="160" w:line="560" w:lineRule="exact"/>
              <w:ind w:right="343"/>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设备品牌</w:t>
            </w:r>
          </w:p>
        </w:tc>
        <w:tc>
          <w:tcPr>
            <w:tcW w:w="1884" w:type="dxa"/>
            <w:vAlign w:val="center"/>
          </w:tcPr>
          <w:p w14:paraId="2629947F">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制造商</w:t>
            </w:r>
          </w:p>
        </w:tc>
        <w:tc>
          <w:tcPr>
            <w:tcW w:w="1133" w:type="dxa"/>
            <w:vAlign w:val="center"/>
          </w:tcPr>
          <w:p w14:paraId="15DEA0D7">
            <w:pPr>
              <w:pStyle w:val="6"/>
              <w:keepNext w:val="0"/>
              <w:keepLines w:val="0"/>
              <w:pageBreakBefore w:val="0"/>
              <w:widowControl/>
              <w:kinsoku w:val="0"/>
              <w:wordWrap/>
              <w:overflowPunct/>
              <w:topLinePunct w:val="0"/>
              <w:autoSpaceDE w:val="0"/>
              <w:autoSpaceDN w:val="0"/>
              <w:bidi w:val="0"/>
              <w:spacing w:before="160" w:line="560" w:lineRule="exact"/>
              <w:ind w:left="241" w:right="23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规格型号</w:t>
            </w:r>
          </w:p>
        </w:tc>
        <w:tc>
          <w:tcPr>
            <w:tcW w:w="667" w:type="dxa"/>
            <w:vAlign w:val="center"/>
          </w:tcPr>
          <w:p w14:paraId="443153E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单位</w:t>
            </w:r>
          </w:p>
        </w:tc>
        <w:tc>
          <w:tcPr>
            <w:tcW w:w="800" w:type="dxa"/>
            <w:vAlign w:val="center"/>
          </w:tcPr>
          <w:p w14:paraId="30DC390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数量</w:t>
            </w:r>
          </w:p>
        </w:tc>
        <w:tc>
          <w:tcPr>
            <w:tcW w:w="633" w:type="dxa"/>
            <w:vAlign w:val="center"/>
          </w:tcPr>
          <w:p w14:paraId="0D59799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单价</w:t>
            </w:r>
          </w:p>
        </w:tc>
        <w:tc>
          <w:tcPr>
            <w:tcW w:w="1017" w:type="dxa"/>
            <w:vAlign w:val="center"/>
          </w:tcPr>
          <w:p w14:paraId="75A0E05D">
            <w:pPr>
              <w:pStyle w:val="6"/>
              <w:keepNext w:val="0"/>
              <w:keepLines w:val="0"/>
              <w:pageBreakBefore w:val="0"/>
              <w:widowControl/>
              <w:kinsoku w:val="0"/>
              <w:wordWrap/>
              <w:overflowPunct/>
              <w:topLinePunct w:val="0"/>
              <w:autoSpaceDE w:val="0"/>
              <w:autoSpaceDN w:val="0"/>
              <w:bidi w:val="0"/>
              <w:spacing w:before="160" w:line="560" w:lineRule="exact"/>
              <w:ind w:left="168" w:right="16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合计</w:t>
            </w:r>
          </w:p>
        </w:tc>
        <w:tc>
          <w:tcPr>
            <w:tcW w:w="1058" w:type="dxa"/>
            <w:vAlign w:val="center"/>
          </w:tcPr>
          <w:p w14:paraId="3B38753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质保期</w:t>
            </w:r>
          </w:p>
        </w:tc>
      </w:tr>
      <w:tr w14:paraId="28D84A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48DC19B">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08B1617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0B155361">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1A5D43E8">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51F36620">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52E3CB3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400E5D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0F8EBE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DC82C69">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r>
      <w:tr w14:paraId="5C09FA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4749E360">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77159486">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7662569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58AADDCB">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48CF1D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1668C2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66DCB35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320BE9F7">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6A4E509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6B87E9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554856CC">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68F1286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1F9E21E5">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1D9C8E3">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086A325A">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6181C887">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0B9A2EFD">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017" w:type="dxa"/>
            <w:vAlign w:val="center"/>
          </w:tcPr>
          <w:p w14:paraId="0C80BE0C">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D6A3631">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360FF7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225" w:type="dxa"/>
            <w:vAlign w:val="center"/>
          </w:tcPr>
          <w:p w14:paraId="1F77784D">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000" w:type="dxa"/>
            <w:vAlign w:val="center"/>
          </w:tcPr>
          <w:p w14:paraId="56592F08">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1884" w:type="dxa"/>
            <w:vAlign w:val="center"/>
          </w:tcPr>
          <w:p w14:paraId="4D93FDAF">
            <w:pPr>
              <w:keepNext w:val="0"/>
              <w:keepLines w:val="0"/>
              <w:pageBreakBefore w:val="0"/>
              <w:widowControl/>
              <w:suppressLineNumbers w:val="0"/>
              <w:wordWrap/>
              <w:overflowPunct/>
              <w:topLinePunct w:val="0"/>
              <w:bidi w:val="0"/>
              <w:spacing w:line="560" w:lineRule="exact"/>
              <w:jc w:val="center"/>
              <w:rPr>
                <w:rFonts w:hint="default" w:ascii="Times New Roman" w:hAnsi="Times New Roman" w:eastAsia="方正仿宋_GBK" w:cs="Times New Roman"/>
                <w:snapToGrid w:val="0"/>
                <w:color w:val="auto"/>
                <w:kern w:val="0"/>
                <w:sz w:val="28"/>
                <w:szCs w:val="28"/>
                <w:lang w:val="en-US" w:eastAsia="en-US" w:bidi="ar-SA"/>
              </w:rPr>
            </w:pPr>
          </w:p>
        </w:tc>
        <w:tc>
          <w:tcPr>
            <w:tcW w:w="1133" w:type="dxa"/>
            <w:vAlign w:val="center"/>
          </w:tcPr>
          <w:p w14:paraId="3398FA11">
            <w:pPr>
              <w:keepNext w:val="0"/>
              <w:keepLines w:val="0"/>
              <w:pageBreakBefore w:val="0"/>
              <w:widowControl/>
              <w:kinsoku w:val="0"/>
              <w:wordWrap/>
              <w:overflowPunct/>
              <w:topLinePunct w:val="0"/>
              <w:autoSpaceDE w:val="0"/>
              <w:autoSpaceDN w:val="0"/>
              <w:bidi w:val="0"/>
              <w:adjustRightInd/>
              <w:snapToGrid/>
              <w:spacing w:line="560" w:lineRule="exact"/>
              <w:ind w:left="0" w:leftChars="0"/>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c>
          <w:tcPr>
            <w:tcW w:w="667" w:type="dxa"/>
            <w:vAlign w:val="center"/>
          </w:tcPr>
          <w:p w14:paraId="6B292882">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eastAsia" w:ascii="Times New Roman" w:hAnsi="Times New Roman" w:eastAsia="方正仿宋_GBK" w:cs="Times New Roman"/>
                <w:snapToGrid w:val="0"/>
                <w:color w:val="auto"/>
                <w:kern w:val="0"/>
                <w:sz w:val="28"/>
                <w:szCs w:val="28"/>
                <w:lang w:val="en-US" w:eastAsia="zh-CN" w:bidi="ar-SA"/>
              </w:rPr>
            </w:pPr>
          </w:p>
        </w:tc>
        <w:tc>
          <w:tcPr>
            <w:tcW w:w="800" w:type="dxa"/>
            <w:vAlign w:val="center"/>
          </w:tcPr>
          <w:p w14:paraId="7968C133">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633" w:type="dxa"/>
            <w:vAlign w:val="center"/>
          </w:tcPr>
          <w:p w14:paraId="3B02AFEE">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zh-CN" w:bidi="ar-SA"/>
              </w:rPr>
            </w:pPr>
          </w:p>
        </w:tc>
        <w:tc>
          <w:tcPr>
            <w:tcW w:w="1017" w:type="dxa"/>
            <w:vAlign w:val="center"/>
          </w:tcPr>
          <w:p w14:paraId="65EC4FEB">
            <w:pPr>
              <w:keepNext w:val="0"/>
              <w:keepLines w:val="0"/>
              <w:pageBreakBefore w:val="0"/>
              <w:widowControl/>
              <w:suppressLineNumbers w:val="0"/>
              <w:wordWrap/>
              <w:overflowPunct/>
              <w:topLinePunct w:val="0"/>
              <w:bidi w:val="0"/>
              <w:spacing w:line="560" w:lineRule="exact"/>
              <w:jc w:val="center"/>
              <w:textAlignment w:val="center"/>
              <w:rPr>
                <w:rFonts w:hint="default" w:ascii="Times New Roman" w:hAnsi="Times New Roman" w:eastAsia="方正仿宋_GBK" w:cs="Times New Roman"/>
                <w:snapToGrid w:val="0"/>
                <w:color w:val="auto"/>
                <w:kern w:val="0"/>
                <w:sz w:val="28"/>
                <w:szCs w:val="28"/>
                <w:lang w:val="en-US" w:eastAsia="zh-CN" w:bidi="ar-SA"/>
              </w:rPr>
            </w:pPr>
          </w:p>
        </w:tc>
        <w:tc>
          <w:tcPr>
            <w:tcW w:w="1058" w:type="dxa"/>
            <w:vAlign w:val="center"/>
          </w:tcPr>
          <w:p w14:paraId="0EDC6B25">
            <w:pPr>
              <w:pStyle w:val="6"/>
              <w:keepNext w:val="0"/>
              <w:keepLines w:val="0"/>
              <w:pageBreakBefore w:val="0"/>
              <w:widowControl/>
              <w:kinsoku w:val="0"/>
              <w:wordWrap/>
              <w:overflowPunct/>
              <w:topLinePunct w:val="0"/>
              <w:autoSpaceDE w:val="0"/>
              <w:autoSpaceDN w:val="0"/>
              <w:bidi w:val="0"/>
              <w:spacing w:line="560" w:lineRule="exact"/>
              <w:jc w:val="center"/>
              <w:textAlignment w:val="baseline"/>
              <w:rPr>
                <w:rFonts w:hint="default" w:ascii="Times New Roman" w:hAnsi="Times New Roman" w:eastAsia="方正仿宋_GBK" w:cs="Times New Roman"/>
                <w:snapToGrid w:val="0"/>
                <w:color w:val="auto"/>
                <w:kern w:val="0"/>
                <w:sz w:val="28"/>
                <w:szCs w:val="28"/>
                <w:lang w:val="en-US" w:eastAsia="en-US" w:bidi="ar-SA"/>
              </w:rPr>
            </w:pPr>
          </w:p>
        </w:tc>
      </w:tr>
      <w:tr w14:paraId="040903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0" w:hRule="atLeast"/>
        </w:trPr>
        <w:tc>
          <w:tcPr>
            <w:tcW w:w="2225" w:type="dxa"/>
            <w:gridSpan w:val="2"/>
            <w:vAlign w:val="center"/>
          </w:tcPr>
          <w:p w14:paraId="54090B10">
            <w:pPr>
              <w:pStyle w:val="6"/>
              <w:keepNext w:val="0"/>
              <w:keepLines w:val="0"/>
              <w:pageBreakBefore w:val="0"/>
              <w:widowControl/>
              <w:kinsoku w:val="0"/>
              <w:wordWrap/>
              <w:overflowPunct/>
              <w:topLinePunct w:val="0"/>
              <w:autoSpaceDE w:val="0"/>
              <w:autoSpaceDN w:val="0"/>
              <w:bidi w:val="0"/>
              <w:spacing w:before="240" w:line="560" w:lineRule="exact"/>
              <w:ind w:left="211"/>
              <w:jc w:val="center"/>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总价（人民币）：</w:t>
            </w:r>
          </w:p>
        </w:tc>
        <w:tc>
          <w:tcPr>
            <w:tcW w:w="7192" w:type="dxa"/>
            <w:gridSpan w:val="7"/>
            <w:vAlign w:val="center"/>
          </w:tcPr>
          <w:p w14:paraId="6A7B345C">
            <w:pPr>
              <w:pStyle w:val="6"/>
              <w:keepNext w:val="0"/>
              <w:keepLines w:val="0"/>
              <w:pageBreakBefore w:val="0"/>
              <w:widowControl/>
              <w:kinsoku w:val="0"/>
              <w:wordWrap/>
              <w:overflowPunct/>
              <w:topLinePunct w:val="0"/>
              <w:autoSpaceDE w:val="0"/>
              <w:autoSpaceDN w:val="0"/>
              <w:bidi w:val="0"/>
              <w:spacing w:before="39"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大写：</w:t>
            </w:r>
          </w:p>
          <w:p w14:paraId="103A2905">
            <w:pPr>
              <w:pStyle w:val="6"/>
              <w:keepNext w:val="0"/>
              <w:keepLines w:val="0"/>
              <w:pageBreakBefore w:val="0"/>
              <w:widowControl/>
              <w:tabs>
                <w:tab w:val="left" w:pos="5195"/>
              </w:tabs>
              <w:kinsoku w:val="0"/>
              <w:wordWrap/>
              <w:overflowPunct/>
              <w:topLinePunct w:val="0"/>
              <w:autoSpaceDE w:val="0"/>
              <w:autoSpaceDN w:val="0"/>
              <w:bidi w:val="0"/>
              <w:spacing w:before="42" w:line="560" w:lineRule="exact"/>
              <w:jc w:val="both"/>
              <w:textAlignment w:val="baseline"/>
              <w:rPr>
                <w:rFonts w:hint="default"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小写(¥)</w:t>
            </w:r>
            <w:r>
              <w:rPr>
                <w:rFonts w:hint="eastAsia" w:ascii="Times New Roman" w:hAnsi="Times New Roman" w:eastAsia="方正仿宋_GBK" w:cs="Times New Roman"/>
                <w:snapToGrid w:val="0"/>
                <w:color w:val="auto"/>
                <w:kern w:val="0"/>
                <w:sz w:val="28"/>
                <w:szCs w:val="28"/>
                <w:lang w:val="en-US" w:eastAsia="zh-CN" w:bidi="ar-SA"/>
              </w:rPr>
              <w:t>：</w:t>
            </w:r>
          </w:p>
        </w:tc>
      </w:tr>
    </w:tbl>
    <w:p w14:paraId="2FAFF14A">
      <w:pPr>
        <w:pStyle w:val="3"/>
        <w:keepNext w:val="0"/>
        <w:keepLines w:val="0"/>
        <w:pageBreakBefore w:val="0"/>
        <w:widowControl/>
        <w:numPr>
          <w:ilvl w:val="0"/>
          <w:numId w:val="1"/>
        </w:numPr>
        <w:tabs>
          <w:tab w:val="left" w:pos="5170"/>
        </w:tabs>
        <w:kinsoku w:val="0"/>
        <w:wordWrap/>
        <w:overflowPunct/>
        <w:topLinePunct w:val="0"/>
        <w:autoSpaceDE w:val="0"/>
        <w:autoSpaceDN w:val="0"/>
        <w:bidi w:val="0"/>
        <w:adjustRightInd w:val="0"/>
        <w:snapToGrid w:val="0"/>
        <w:spacing w:before="97" w:line="560" w:lineRule="exact"/>
        <w:ind w:right="249"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合同总价包括:货物的设计、制造、运输、装卸、安装、维护、验收、税费、人员培训及质保等可能出现的一切费用。关于所采购货物本身随同配备的备品备件及器材的价格已包含于合同总价，不再额外收取费用。乙方需保证所能够提供使用的备品备件来源渠道合法合规，确保备品备件产权归乙方所有。</w:t>
      </w:r>
    </w:p>
    <w:p w14:paraId="74051FC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default" w:ascii="Times New Roman" w:hAnsi="Times New Roman" w:eastAsia="方正仿宋_GBK" w:cs="Times New Roman"/>
          <w:snapToGrid w:val="0"/>
          <w:color w:val="auto"/>
          <w:kern w:val="0"/>
          <w:sz w:val="28"/>
          <w:szCs w:val="28"/>
          <w:lang w:val="en-US" w:eastAsia="en-US" w:bidi="ar-SA"/>
        </w:rPr>
        <w:t>3、合同总价一次性包死，不受市场价格变化因素的影响。在项目实施中产生的其它费用，均由乙方免费提供，甲方不再支付任何费用。</w:t>
      </w:r>
    </w:p>
    <w:p w14:paraId="2225D22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3" w:name="三、款项支付及结算"/>
      <w:bookmarkEnd w:id="3"/>
      <w:r>
        <w:rPr>
          <w:rFonts w:hint="default" w:ascii="Times New Roman" w:hAnsi="Times New Roman" w:eastAsia="方正黑体_GBK" w:cs="Times New Roman"/>
          <w:b w:val="0"/>
          <w:bCs w:val="0"/>
          <w:snapToGrid w:val="0"/>
          <w:color w:val="auto"/>
          <w:kern w:val="0"/>
          <w:sz w:val="32"/>
          <w:szCs w:val="32"/>
          <w:lang w:val="en-US" w:eastAsia="zh-CN" w:bidi="ar-SA"/>
        </w:rPr>
        <w:t>三、款项支付及结算</w:t>
      </w:r>
    </w:p>
    <w:p w14:paraId="427DAB9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1、结算方式</w:t>
      </w:r>
    </w:p>
    <w:p w14:paraId="2AEEFA5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default" w:ascii="Times New Roman" w:hAnsi="Times New Roman" w:eastAsia="方正仿宋_GBK" w:cs="Times New Roman"/>
          <w:snapToGrid w:val="0"/>
          <w:color w:val="auto"/>
          <w:kern w:val="0"/>
          <w:sz w:val="28"/>
          <w:szCs w:val="28"/>
          <w:lang w:val="en-US" w:eastAsia="en-US" w:bidi="ar-SA"/>
        </w:rPr>
        <w:t>甲方在收到乙方履约保证金后10个工作日内，向乙方支付合同总价的60%，即人民币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025D422">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default" w:ascii="Times New Roman" w:hAnsi="Times New Roman" w:eastAsia="方正仿宋_GBK" w:cs="Times New Roman"/>
          <w:snapToGrid w:val="0"/>
          <w:color w:val="auto"/>
          <w:kern w:val="0"/>
          <w:sz w:val="28"/>
          <w:szCs w:val="28"/>
          <w:lang w:val="en-US" w:eastAsia="en-US" w:bidi="ar-SA"/>
        </w:rPr>
        <w:t>货到甲方指定地点后，甲方20个工作日内向乙方支付合同总价20%，即人民币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28A9B80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default" w:ascii="Times New Roman" w:hAnsi="Times New Roman" w:eastAsia="方正仿宋_GBK" w:cs="Times New Roman"/>
          <w:snapToGrid w:val="0"/>
          <w:color w:val="auto"/>
          <w:kern w:val="0"/>
          <w:sz w:val="28"/>
          <w:szCs w:val="28"/>
          <w:lang w:val="en-US" w:eastAsia="en-US" w:bidi="ar-SA"/>
        </w:rPr>
        <w:t>货物经甲方验收（安装）合格后，甲方20个工作日内向乙方支付合同总价20%，即人民币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w:t>
      </w:r>
    </w:p>
    <w:p w14:paraId="394EE6F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default" w:ascii="Times New Roman" w:hAnsi="Times New Roman" w:eastAsia="方正仿宋_GBK" w:cs="Times New Roman"/>
          <w:snapToGrid w:val="0"/>
          <w:color w:val="auto"/>
          <w:kern w:val="0"/>
          <w:sz w:val="28"/>
          <w:szCs w:val="28"/>
          <w:lang w:val="en-US" w:eastAsia="en-US" w:bidi="ar-SA"/>
        </w:rPr>
        <w:t>在甲方第三次付款前，乙方必须开具全额增值税发票给甲方，未按照甲方要求开具发票，甲方可顺延付款时间不承担违约责任，由此造成的损失由乙方承担。</w:t>
      </w:r>
    </w:p>
    <w:p w14:paraId="3C323026">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default" w:ascii="Times New Roman" w:hAnsi="Times New Roman" w:eastAsia="方正仿宋_GBK" w:cs="Times New Roman"/>
          <w:b w:val="0"/>
          <w:bCs w:val="0"/>
          <w:snapToGrid w:val="0"/>
          <w:color w:val="auto"/>
          <w:kern w:val="0"/>
          <w:sz w:val="28"/>
          <w:szCs w:val="28"/>
          <w:lang w:val="en-US" w:eastAsia="en-US" w:bidi="ar-SA"/>
        </w:rPr>
      </w:pPr>
      <w:r>
        <w:rPr>
          <w:rFonts w:hint="default" w:ascii="Times New Roman" w:hAnsi="Times New Roman" w:eastAsia="方正仿宋_GBK" w:cs="Times New Roman"/>
          <w:b w:val="0"/>
          <w:bCs w:val="0"/>
          <w:snapToGrid w:val="0"/>
          <w:color w:val="auto"/>
          <w:kern w:val="0"/>
          <w:sz w:val="28"/>
          <w:szCs w:val="28"/>
          <w:lang w:val="en-US" w:eastAsia="en-US" w:bidi="ar-SA"/>
        </w:rPr>
        <w:t>2、履约保证金</w:t>
      </w:r>
    </w:p>
    <w:p w14:paraId="62CDDF0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履约保证金的收取</w:t>
      </w:r>
    </w:p>
    <w:p w14:paraId="191CA2A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签订合同后10个工作日内，乙方须向甲方交纳合同金额的5%作为履约保证金（履约保证金应采取支票、本票、汇票、保函等非现金形式提交），</w:t>
      </w:r>
      <w:r>
        <w:rPr>
          <w:rFonts w:hint="default" w:ascii="Times New Roman" w:hAnsi="Times New Roman" w:eastAsia="方正仿宋_GBK" w:cs="Times New Roman"/>
          <w:snapToGrid w:val="0"/>
          <w:color w:val="auto"/>
          <w:kern w:val="0"/>
          <w:sz w:val="28"/>
          <w:szCs w:val="28"/>
          <w:lang w:val="en-US" w:eastAsia="en-US" w:bidi="ar-SA"/>
        </w:rPr>
        <w:t>即人民币</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default" w:ascii="Times New Roman" w:hAnsi="Times New Roman" w:eastAsia="方正仿宋_GBK" w:cs="Times New Roman"/>
          <w:snapToGrid w:val="0"/>
          <w:color w:val="auto"/>
          <w:kern w:val="0"/>
          <w:sz w:val="28"/>
          <w:szCs w:val="28"/>
          <w:lang w:val="en-US" w:eastAsia="en-US" w:bidi="ar-SA"/>
        </w:rPr>
        <w:t>元，大写：</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w:t>
      </w:r>
    </w:p>
    <w:p w14:paraId="4C608D0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退还的时间及方式</w:t>
      </w:r>
    </w:p>
    <w:p w14:paraId="7B49117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乙方在合同履约完成经验收合格后，甲方在 10 个工作日内，全额无息退还履约保证金。</w:t>
      </w:r>
    </w:p>
    <w:p w14:paraId="6AB982B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退还方式：根据中标人的支付方式进行退还。</w:t>
      </w:r>
    </w:p>
    <w:p w14:paraId="5031B0A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不予退还的情形</w:t>
      </w:r>
    </w:p>
    <w:p w14:paraId="33F8ED5D">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出现下列情形之一的，甲方有权不予退还乙方交纳的履约保证金，且乙方无权要求甲方支付任何利息或补偿：</w:t>
      </w:r>
    </w:p>
    <w:p w14:paraId="010A1F9C">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 乙方在履行合同过程中存在违约行为，包括但不限于所提供的装备或服务不符合合同约定的质量标准、技术规范、功能要求或数量要求， 经甲方指出后未在合理期限内改正的；</w:t>
      </w:r>
    </w:p>
    <w:p w14:paraId="44B47A5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 乙方未按合同约定的时间、地点或方式履行交货等合同义务；</w:t>
      </w:r>
    </w:p>
    <w:p w14:paraId="52C96B0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③因乙方原因导致合同被解除或终止的；</w:t>
      </w:r>
    </w:p>
    <w:p w14:paraId="047427F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④法律法规或本合同约定的其他不予退还履约保证金的情形。</w:t>
      </w:r>
    </w:p>
    <w:p w14:paraId="779D7DE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甲方不予退还履约保证金的，并不免除乙方应承担的其他违约责任。</w:t>
      </w:r>
    </w:p>
    <w:p w14:paraId="22FD5FFF">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（4）</w:t>
      </w:r>
      <w:r>
        <w:rPr>
          <w:rFonts w:hint="eastAsia" w:ascii="Times New Roman" w:hAnsi="Times New Roman" w:eastAsia="方正仿宋_GBK" w:cs="Times New Roman"/>
          <w:snapToGrid w:val="0"/>
          <w:color w:val="auto"/>
          <w:kern w:val="0"/>
          <w:sz w:val="28"/>
          <w:szCs w:val="28"/>
          <w:lang w:val="en-US" w:eastAsia="en-US" w:bidi="ar-SA"/>
        </w:rPr>
        <w:t>逾期退还的违约责任</w:t>
      </w:r>
    </w:p>
    <w:p w14:paraId="7C1F9B90">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①采购人逾期退还履约保证金的，应当承担赔偿责任。除按合同约定无息退还履约保证金本金外，还应自应退还之日的次日起，按中国人民银行公布的同期贷款市场报价利率（LPR）向中标人支付资金占用期间的利息。</w:t>
      </w:r>
    </w:p>
    <w:p w14:paraId="5BB26C8B">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②接受财政部门将逾期退还履约保证金的行为进行监管。</w:t>
      </w:r>
    </w:p>
    <w:p w14:paraId="13B92853">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备注：履约保证金的相关事宜，参考《陕西省财政厅关于进一步加大政府采购支持中小企业力度的通知》（陕财办采〔2022〕5号）的有关规定执行。</w:t>
      </w:r>
    </w:p>
    <w:p w14:paraId="35FD1137">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四、双方的权利和义务</w:t>
      </w:r>
    </w:p>
    <w:p w14:paraId="035FAB14">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1、甲方责任</w:t>
      </w:r>
    </w:p>
    <w:p w14:paraId="20DF08E5">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负责核准、认定本项目相关技术资料文档；监督、参与项目执行的整个过程（包括实施方案的设计、安装调试、项目验收、人员培训、售后服务等）；为乙方提供必要的工作条件，并提供该产品所必需的运行环境； 按照合同约定支付各阶段合同款项。</w:t>
      </w:r>
    </w:p>
    <w:p w14:paraId="01AA5A28">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2、乙方责任</w:t>
      </w:r>
    </w:p>
    <w:p w14:paraId="32883C21">
      <w:pPr>
        <w:pStyle w:val="3"/>
        <w:keepNext w:val="0"/>
        <w:keepLines w:val="0"/>
        <w:pageBreakBefore w:val="0"/>
        <w:widowControl/>
        <w:numPr>
          <w:ilvl w:val="0"/>
          <w:numId w:val="0"/>
        </w:numPr>
        <w:tabs>
          <w:tab w:val="left" w:pos="5170"/>
        </w:tabs>
        <w:kinsoku w:val="0"/>
        <w:wordWrap/>
        <w:overflowPunct/>
        <w:topLinePunct w:val="0"/>
        <w:autoSpaceDE w:val="0"/>
        <w:autoSpaceDN w:val="0"/>
        <w:bidi w:val="0"/>
        <w:adjustRightInd w:val="0"/>
        <w:snapToGrid w:val="0"/>
        <w:spacing w:before="97" w:line="560" w:lineRule="exact"/>
        <w:ind w:right="249" w:rightChars="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按时完成产品运行环境的检查；产品的交接；按时完成本合同所涉及产品的安装调试、验收工作；协助配合甲方完成应用系统的整合工作；为甲方提供《产品测试验收报告》；做好整个项目的售后服务技术支持工作。附件同时提供产品详细的中文技术规格书和外观照片。提供零配件供应周期、工时费等服务标准。</w:t>
      </w:r>
    </w:p>
    <w:p w14:paraId="5E4BD073">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4" w:name="五、交货条件"/>
      <w:bookmarkEnd w:id="4"/>
      <w:r>
        <w:rPr>
          <w:rFonts w:hint="default" w:ascii="Times New Roman" w:hAnsi="Times New Roman" w:eastAsia="方正黑体_GBK" w:cs="Times New Roman"/>
          <w:b w:val="0"/>
          <w:bCs w:val="0"/>
          <w:snapToGrid w:val="0"/>
          <w:color w:val="auto"/>
          <w:kern w:val="0"/>
          <w:sz w:val="32"/>
          <w:szCs w:val="32"/>
          <w:lang w:val="en-US" w:eastAsia="zh-CN" w:bidi="ar-SA"/>
        </w:rPr>
        <w:t>五、交货条件</w:t>
      </w:r>
    </w:p>
    <w:p w14:paraId="185FFB0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1.验收地点：</w:t>
      </w:r>
      <w:r>
        <w:rPr>
          <w:rFonts w:hint="eastAsia" w:ascii="Times New Roman" w:hAnsi="Times New Roman" w:eastAsia="方正仿宋_GBK" w:cs="Times New Roman"/>
          <w:snapToGrid w:val="0"/>
          <w:color w:val="auto"/>
          <w:kern w:val="0"/>
          <w:sz w:val="28"/>
          <w:szCs w:val="28"/>
          <w:lang w:val="en-US" w:eastAsia="en-US" w:bidi="ar-SA"/>
        </w:rPr>
        <w:t>陕西省铜川市新区鸿基东路战勤保障基地</w:t>
      </w:r>
      <w:r>
        <w:rPr>
          <w:rFonts w:hint="eastAsia" w:ascii="Times New Roman" w:hAnsi="Times New Roman" w:eastAsia="方正仿宋_GBK" w:cs="Times New Roman"/>
          <w:snapToGrid w:val="0"/>
          <w:color w:val="auto"/>
          <w:kern w:val="0"/>
          <w:sz w:val="28"/>
          <w:szCs w:val="28"/>
          <w:lang w:val="en-US" w:eastAsia="zh-CN" w:bidi="ar-SA"/>
        </w:rPr>
        <w:t>（同交货地点）</w:t>
      </w:r>
      <w:r>
        <w:rPr>
          <w:rFonts w:hint="eastAsia" w:ascii="Times New Roman" w:hAnsi="Times New Roman" w:eastAsia="方正仿宋_GBK" w:cs="Times New Roman"/>
          <w:snapToGrid w:val="0"/>
          <w:color w:val="auto"/>
          <w:kern w:val="0"/>
          <w:sz w:val="28"/>
          <w:szCs w:val="28"/>
          <w:lang w:val="en-US" w:eastAsia="en-US" w:bidi="ar-SA"/>
        </w:rPr>
        <w:t>。</w:t>
      </w:r>
    </w:p>
    <w:p w14:paraId="7ADB3DEF">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（1）乙方必须派人送货清点、移交、培训。不受理任何物流、邮寄供货业务。</w:t>
      </w:r>
    </w:p>
    <w:p w14:paraId="09DFAAA6">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（2）本合同所有产品单件必须标明厂商、商标、型号、生产时间并附有效期内的检测报告并盖章。</w:t>
      </w:r>
    </w:p>
    <w:p w14:paraId="4A768A6D">
      <w:pPr>
        <w:pStyle w:val="3"/>
        <w:keepNext w:val="0"/>
        <w:keepLines w:val="0"/>
        <w:pageBreakBefore w:val="0"/>
        <w:widowControl/>
        <w:kinsoku w:val="0"/>
        <w:wordWrap/>
        <w:overflowPunct/>
        <w:topLinePunct w:val="0"/>
        <w:autoSpaceDE w:val="0"/>
        <w:autoSpaceDN w:val="0"/>
        <w:bidi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2、交货期：合同签订后，</w:t>
      </w:r>
      <w:r>
        <w:rPr>
          <w:rFonts w:hint="eastAsia" w:ascii="Times New Roman" w:hAnsi="Times New Roman" w:eastAsia="方正仿宋_GBK" w:cs="Times New Roman"/>
          <w:snapToGrid w:val="0"/>
          <w:color w:val="auto"/>
          <w:kern w:val="0"/>
          <w:sz w:val="28"/>
          <w:szCs w:val="28"/>
          <w:lang w:val="en-US" w:eastAsia="zh-CN" w:bidi="ar-SA"/>
        </w:rPr>
        <w:t>60</w:t>
      </w:r>
      <w:r>
        <w:rPr>
          <w:rFonts w:hint="eastAsia" w:ascii="Times New Roman" w:hAnsi="Times New Roman" w:eastAsia="方正仿宋_GBK" w:cs="Times New Roman"/>
          <w:b w:val="0"/>
          <w:bCs w:val="0"/>
          <w:snapToGrid w:val="0"/>
          <w:color w:val="auto"/>
          <w:kern w:val="0"/>
          <w:sz w:val="28"/>
          <w:szCs w:val="28"/>
          <w:lang w:val="en-US" w:eastAsia="zh-CN" w:bidi="ar-SA"/>
        </w:rPr>
        <w:t>个</w:t>
      </w:r>
      <w:r>
        <w:rPr>
          <w:rFonts w:hint="eastAsia" w:ascii="Times New Roman" w:hAnsi="Times New Roman" w:eastAsia="方正仿宋_GBK" w:cs="Times New Roman"/>
          <w:snapToGrid w:val="0"/>
          <w:color w:val="auto"/>
          <w:kern w:val="0"/>
          <w:sz w:val="28"/>
          <w:szCs w:val="28"/>
          <w:lang w:val="en-US" w:eastAsia="en-US" w:bidi="ar-SA"/>
        </w:rPr>
        <w:t>日历日内送至甲方指定地点交货。</w:t>
      </w:r>
    </w:p>
    <w:p w14:paraId="01365557">
      <w:pPr>
        <w:pStyle w:val="3"/>
        <w:keepNext w:val="0"/>
        <w:keepLines w:val="0"/>
        <w:pageBreakBefore w:val="0"/>
        <w:widowControl/>
        <w:kinsoku w:val="0"/>
        <w:wordWrap/>
        <w:overflowPunct/>
        <w:topLinePunct w:val="0"/>
        <w:autoSpaceDE w:val="0"/>
        <w:autoSpaceDN w:val="0"/>
        <w:bidi w:val="0"/>
        <w:spacing w:before="140" w:line="560" w:lineRule="exact"/>
        <w:ind w:right="386" w:firstLine="568"/>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3、根据《国家消防救援局办公室关于推广应用新版消防装备管理系统的通知》要求，所交付装备须附着由“消防装备物资信息采集系统”生成数据制作的二维码和RFID，芯片内容根据甲方要求填写。</w:t>
      </w:r>
    </w:p>
    <w:p w14:paraId="3147BF29">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5" w:name="六、包装运输"/>
      <w:bookmarkEnd w:id="5"/>
      <w:r>
        <w:rPr>
          <w:rFonts w:hint="default" w:ascii="Times New Roman" w:hAnsi="Times New Roman" w:eastAsia="方正黑体_GBK" w:cs="Times New Roman"/>
          <w:b w:val="0"/>
          <w:bCs w:val="0"/>
          <w:snapToGrid w:val="0"/>
          <w:color w:val="auto"/>
          <w:kern w:val="0"/>
          <w:sz w:val="32"/>
          <w:szCs w:val="32"/>
          <w:lang w:val="en-US" w:eastAsia="zh-CN" w:bidi="ar-SA"/>
        </w:rPr>
        <w:t>六、包装运输</w:t>
      </w:r>
    </w:p>
    <w:p w14:paraId="144287F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1、运输由乙方负责，运杂费已包含在合同总价内，包括从产品供应地点到验收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地点（陕西省铜川市新区鸿基东路战勤保障基地）所含的运输费、装卸费、仓储费、保险费等。</w:t>
      </w:r>
      <w:r>
        <w:rPr>
          <w:rFonts w:hint="eastAsia" w:ascii="方正仿宋_GBK" w:hAnsi="方正仿宋_GBK" w:eastAsia="方正仿宋_GBK" w:cs="方正仿宋_GBK"/>
          <w:snapToGrid w:val="0"/>
          <w:color w:val="auto"/>
          <w:kern w:val="0"/>
          <w:sz w:val="28"/>
          <w:szCs w:val="28"/>
          <w:lang w:val="en-US" w:eastAsia="en-US" w:bidi="ar-SA"/>
        </w:rPr>
        <w:t>（采购人不接受快递投递）</w:t>
      </w:r>
    </w:p>
    <w:p w14:paraId="77C79D69">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2、乙方保证产品安全、按期运输到达甲方指定验收</w:t>
      </w:r>
      <w:r>
        <w:rPr>
          <w:rFonts w:hint="eastAsia" w:ascii="Times New Roman" w:hAnsi="Times New Roman" w:eastAsia="方正仿宋_GBK" w:cs="Times New Roman"/>
          <w:snapToGrid w:val="0"/>
          <w:color w:val="auto"/>
          <w:kern w:val="0"/>
          <w:sz w:val="28"/>
          <w:szCs w:val="28"/>
          <w:lang w:val="en-US" w:eastAsia="zh-CN" w:bidi="ar-SA"/>
        </w:rPr>
        <w:t>交货</w:t>
      </w:r>
      <w:r>
        <w:rPr>
          <w:rFonts w:hint="eastAsia" w:ascii="Times New Roman" w:hAnsi="Times New Roman" w:eastAsia="方正仿宋_GBK" w:cs="Times New Roman"/>
          <w:snapToGrid w:val="0"/>
          <w:color w:val="auto"/>
          <w:kern w:val="0"/>
          <w:sz w:val="28"/>
          <w:szCs w:val="28"/>
          <w:lang w:val="en-US" w:eastAsia="en-US" w:bidi="ar-SA"/>
        </w:rPr>
        <w:t>地点（陕西省铜川市新区鸿基东路战勤保障基地），在到达甲方指定交货地点前发生的不可预见的风险均由乙方承担。</w:t>
      </w:r>
    </w:p>
    <w:p w14:paraId="4D7441D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偿。</w:t>
      </w:r>
    </w:p>
    <w:p w14:paraId="5463C91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4、乙方保证产品安全、按期运输到达甲方指定交货地点，在甲方验收前发生的不可预见的风险均由乙方承担。</w:t>
      </w:r>
    </w:p>
    <w:p w14:paraId="205DF1DB">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r>
        <w:rPr>
          <w:rFonts w:hint="default" w:ascii="Times New Roman" w:hAnsi="Times New Roman" w:eastAsia="方正黑体_GBK" w:cs="Times New Roman"/>
          <w:b w:val="0"/>
          <w:bCs w:val="0"/>
          <w:snapToGrid w:val="0"/>
          <w:color w:val="auto"/>
          <w:kern w:val="0"/>
          <w:sz w:val="32"/>
          <w:szCs w:val="32"/>
          <w:lang w:val="en-US" w:eastAsia="zh-CN" w:bidi="ar-SA"/>
        </w:rPr>
        <w:t>七、乙方质量保证</w:t>
      </w:r>
    </w:p>
    <w:p w14:paraId="2BF844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1、保修期（质保期）：</w:t>
      </w: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年，乙方按照招标文件中各标段技术参数中的要求执行（与本合同第二款中质保期相符），自产品经甲方验收合格后之次日算起，确因质量问题不能使用的，应当免费换新。</w:t>
      </w:r>
    </w:p>
    <w:p w14:paraId="7C0C402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2、提供每周7*24 小时的技术咨询服务。乙方接到甲方维修要求后，保证</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小时（与投标文件一致）内给予明确答复，并在</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小时（与投标文件一致）内到达甲方项目所在地。</w:t>
      </w:r>
    </w:p>
    <w:p w14:paraId="4886E2E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3、保修期（质保期），免费维修。保修期（质保期）外优惠供应配件，只收配件费。在保修期（质保期）内，如有制造质量问题或技术缺陷造成设备故障或损坏，乙方在</w:t>
      </w:r>
      <w:r>
        <w:rPr>
          <w:rFonts w:hint="eastAsia" w:ascii="Times New Roman" w:hAnsi="Times New Roman" w:eastAsia="方正仿宋_GBK" w:cs="Times New Roman"/>
          <w:snapToGrid w:val="0"/>
          <w:color w:val="auto"/>
          <w:kern w:val="0"/>
          <w:sz w:val="28"/>
          <w:szCs w:val="28"/>
          <w:lang w:val="en-US" w:eastAsia="zh-CN" w:bidi="ar-SA"/>
        </w:rPr>
        <w:t>24</w:t>
      </w:r>
      <w:r>
        <w:rPr>
          <w:rFonts w:hint="eastAsia" w:ascii="Times New Roman" w:hAnsi="Times New Roman" w:eastAsia="方正仿宋_GBK" w:cs="Times New Roman"/>
          <w:snapToGrid w:val="0"/>
          <w:color w:val="auto"/>
          <w:kern w:val="0"/>
          <w:sz w:val="28"/>
          <w:szCs w:val="28"/>
          <w:lang w:val="en-US" w:eastAsia="en-US" w:bidi="ar-SA"/>
        </w:rPr>
        <w:t>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34C95A7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4、在装备全寿命周期内，如因装备质量缺陷等问题导致甲方及其消防员、相关人员在使用过程中发生伤亡、财产损失的，均由乙方负责一切后果，并承担法律责任。</w:t>
      </w:r>
    </w:p>
    <w:p w14:paraId="3577AC6E">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6" w:name="八、乙方售后服务"/>
      <w:bookmarkEnd w:id="6"/>
      <w:r>
        <w:rPr>
          <w:rFonts w:hint="default" w:ascii="Times New Roman" w:hAnsi="Times New Roman" w:eastAsia="方正黑体_GBK" w:cs="Times New Roman"/>
          <w:b w:val="0"/>
          <w:bCs w:val="0"/>
          <w:snapToGrid w:val="0"/>
          <w:color w:val="auto"/>
          <w:kern w:val="0"/>
          <w:sz w:val="32"/>
          <w:szCs w:val="32"/>
          <w:lang w:val="en-US" w:eastAsia="zh-CN" w:bidi="ar-SA"/>
        </w:rPr>
        <w:t>八、乙方售后服务</w:t>
      </w:r>
    </w:p>
    <w:p w14:paraId="3501EA6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1、培训：为甲方提供涉及产品的使用范围、主要性能、技术指标、使用方法、注意事项和维护保养、贮存方法等方面的培训，并由乙方专业人员向客户提供技术支持。</w:t>
      </w:r>
    </w:p>
    <w:p w14:paraId="43FF0B3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2、售后服务工作程序</w:t>
      </w:r>
    </w:p>
    <w:p w14:paraId="11BCD4D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zh-CN" w:bidi="ar-SA"/>
        </w:rPr>
      </w:pPr>
      <w:r>
        <w:rPr>
          <w:rFonts w:hint="eastAsia" w:ascii="Times New Roman" w:hAnsi="Times New Roman" w:eastAsia="方正仿宋_GBK" w:cs="Times New Roman"/>
          <w:snapToGrid w:val="0"/>
          <w:color w:val="auto"/>
          <w:kern w:val="0"/>
          <w:sz w:val="28"/>
          <w:szCs w:val="28"/>
          <w:lang w:val="en-US" w:eastAsia="en-US" w:bidi="ar-SA"/>
        </w:rPr>
        <w:t>售后服务电话：</w:t>
      </w:r>
      <w:r>
        <w:rPr>
          <w:rFonts w:hint="eastAsia" w:ascii="Times New Roman" w:hAnsi="Times New Roman" w:eastAsia="方正仿宋_GBK" w:cs="Times New Roman"/>
          <w:snapToGrid w:val="0"/>
          <w:color w:val="auto"/>
          <w:kern w:val="0"/>
          <w:sz w:val="28"/>
          <w:szCs w:val="28"/>
          <w:u w:val="single"/>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zh-CN" w:bidi="ar-SA"/>
        </w:rPr>
        <w:t>。</w:t>
      </w:r>
    </w:p>
    <w:p w14:paraId="7A0780B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受理甲方售后要求，详细弄清问题所在，并给予明确答复，做电话记录。</w:t>
      </w:r>
    </w:p>
    <w:p w14:paraId="55237D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0.5</w:t>
      </w:r>
      <w:r>
        <w:rPr>
          <w:rFonts w:hint="eastAsia" w:ascii="Times New Roman" w:hAnsi="Times New Roman" w:eastAsia="方正仿宋_GBK" w:cs="Times New Roman"/>
          <w:snapToGrid w:val="0"/>
          <w:color w:val="auto"/>
          <w:kern w:val="0"/>
          <w:sz w:val="28"/>
          <w:szCs w:val="28"/>
          <w:lang w:val="en-US" w:eastAsia="en-US" w:bidi="ar-SA"/>
        </w:rPr>
        <w:t>小时（与投标文件一致）内，安排人员，制定服务计划。</w:t>
      </w:r>
    </w:p>
    <w:p w14:paraId="11207BE0">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（3）</w:t>
      </w:r>
      <w:r>
        <w:rPr>
          <w:rFonts w:hint="eastAsia" w:ascii="Times New Roman" w:hAnsi="Times New Roman" w:eastAsia="方正仿宋_GBK" w:cs="Times New Roman"/>
          <w:snapToGrid w:val="0"/>
          <w:color w:val="auto"/>
          <w:kern w:val="0"/>
          <w:sz w:val="28"/>
          <w:szCs w:val="28"/>
          <w:lang w:val="en-US" w:eastAsia="en-US" w:bidi="ar-SA"/>
        </w:rPr>
        <w:t>在接到电话</w:t>
      </w: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小时内（与投标文件一致）赶到甲方位置，对故障原因内予以解决。</w:t>
      </w:r>
    </w:p>
    <w:p w14:paraId="68D9D918">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3、保修期（质保期）内主要提供定期的客户查询，询问器材的使用情况、完好情况。一般每 1－2 个月一次。确有质量问题的，按第七条 3 款进行服务，服务免费。</w:t>
      </w:r>
    </w:p>
    <w:p w14:paraId="4D81226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4、保修期（质保期）外乙方应继续安排销售人员对甲方进行走访，维修只收配件费。对临界使用寿命的或严重毁损的器材提醒及时报废。</w:t>
      </w:r>
    </w:p>
    <w:p w14:paraId="3253CD3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5、乙方未能按照本条协议约定履行其售后服务义务及第七条质量保证义务的，应当向甲方支付违约金 5000 元/次，同时甲方有权聘请第三方进行维修，产生的费用：质保期内由乙方承担；质保期外除配件费以外的费用由乙方承担。第三方的维修行为不排除乙方之后的质保、维修责任。</w:t>
      </w:r>
    </w:p>
    <w:p w14:paraId="477B2D0F">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default" w:ascii="Times New Roman" w:hAnsi="Times New Roman" w:eastAsia="方正黑体_GBK" w:cs="Times New Roman"/>
          <w:b w:val="0"/>
          <w:bCs w:val="0"/>
          <w:snapToGrid w:val="0"/>
          <w:color w:val="auto"/>
          <w:kern w:val="0"/>
          <w:sz w:val="32"/>
          <w:szCs w:val="32"/>
          <w:lang w:val="en-US" w:eastAsia="zh-CN" w:bidi="ar-SA"/>
        </w:rPr>
      </w:pPr>
      <w:bookmarkStart w:id="7" w:name="九、乙方提供技术与服务"/>
      <w:bookmarkEnd w:id="7"/>
      <w:r>
        <w:rPr>
          <w:rFonts w:hint="default" w:ascii="Times New Roman" w:hAnsi="Times New Roman" w:eastAsia="方正黑体_GBK" w:cs="Times New Roman"/>
          <w:b w:val="0"/>
          <w:bCs w:val="0"/>
          <w:snapToGrid w:val="0"/>
          <w:color w:val="auto"/>
          <w:kern w:val="0"/>
          <w:sz w:val="32"/>
          <w:szCs w:val="32"/>
          <w:lang w:val="en-US" w:eastAsia="zh-CN" w:bidi="ar-SA"/>
        </w:rPr>
        <w:t>九、乙方提供技术与服务</w:t>
      </w:r>
    </w:p>
    <w:p w14:paraId="4E0632F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1、随同货物提供相应的中文技术文件（包括产品合格证、装箱清单、操作手册、使用说明、检测报告、维护手册、服务指南等资料）；</w:t>
      </w:r>
    </w:p>
    <w:p w14:paraId="2AF93FA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2、现场安装、调试、试运行技术保障服务。</w:t>
      </w:r>
      <w:bookmarkStart w:id="8" w:name="十、违约责任"/>
      <w:bookmarkEnd w:id="8"/>
    </w:p>
    <w:p w14:paraId="2546D8F5">
      <w:pPr>
        <w:pStyle w:val="2"/>
        <w:keepNext w:val="0"/>
        <w:keepLines w:val="0"/>
        <w:pageBreakBefore w:val="0"/>
        <w:widowControl/>
        <w:kinsoku w:val="0"/>
        <w:wordWrap/>
        <w:overflowPunct/>
        <w:topLinePunct w:val="0"/>
        <w:autoSpaceDE w:val="0"/>
        <w:autoSpaceDN w:val="0"/>
        <w:bidi w:val="0"/>
        <w:adjustRightInd w:val="0"/>
        <w:snapToGrid w:val="0"/>
        <w:spacing w:line="560" w:lineRule="exact"/>
        <w:ind w:left="0" w:leftChars="0" w:firstLine="640" w:firstLineChars="200"/>
        <w:textAlignment w:val="baseline"/>
        <w:outlineLvl w:val="5"/>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十、违约责任</w:t>
      </w:r>
    </w:p>
    <w:p w14:paraId="54FDCB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1、按《中华人民共和国民法典》中的相关条款执行。</w:t>
      </w:r>
    </w:p>
    <w:p w14:paraId="04B74797">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2、乙方未能按期履行合同或乙方未按合同要求提供设备或设备质量不能满足甲方要求，甲方有权单方面解除合同，乙方除应返还甲方已支付的款项外，还应承担本合同总金额 20%的违约金，违约金不足以弥补损失的， 乙方应予补足；</w:t>
      </w:r>
    </w:p>
    <w:p w14:paraId="5988450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3、若交货存在逾期可能，乙方应在合同约定的交货之日前 7 天以书面形式告知甲方，经甲方同意，乙方应在甲方重新指定的交货日期内按时交货。若仍逾期，每逾期一天，乙方应向甲方支付合同总价款的 1‰违约金。逾期超过 15 日历日的，甲方有权单方面解除本合同，乙方除退还甲方已支付全部费用外还应按照合同总价的 20%向甲方支付违约金。违约金不足以弥补损失的，乙方应予以补足。</w:t>
      </w:r>
    </w:p>
    <w:p w14:paraId="7DD5B13A">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4、乙方因交付货物不符合合同规定而被甲方要求进行整改，整改完成时间晚于合同规定的交货时间时，乙方应承担逾期交货违约责任。</w:t>
      </w:r>
    </w:p>
    <w:p w14:paraId="6C3D2003">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9" w:name="十一、不可抗力"/>
      <w:bookmarkEnd w:id="9"/>
      <w:r>
        <w:rPr>
          <w:rFonts w:hint="eastAsia" w:ascii="Times New Roman" w:hAnsi="Times New Roman" w:eastAsia="方正黑体_GBK" w:cs="Times New Roman"/>
          <w:b w:val="0"/>
          <w:bCs w:val="0"/>
          <w:snapToGrid w:val="0"/>
          <w:color w:val="auto"/>
          <w:kern w:val="0"/>
          <w:sz w:val="32"/>
          <w:szCs w:val="32"/>
          <w:lang w:val="en-US" w:eastAsia="zh-CN" w:bidi="ar-SA"/>
        </w:rPr>
        <w:t>十一、不可抗力</w:t>
      </w:r>
    </w:p>
    <w:p w14:paraId="1B0F42FC">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任。</w:t>
      </w:r>
    </w:p>
    <w:p w14:paraId="045288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2、本合同任何一方因不可抗力不能履行或不能完全履行本合同的义务时，应在不可抗力发生之日起 7 天内书面函告本合同的另一方，并在不可抗力发生之日起 7 天内向另一方提供相关证明材料。</w:t>
      </w:r>
    </w:p>
    <w:p w14:paraId="006F9F53">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遭受不可抗力的一方应采取一切必要措施减少损失，并在事件消除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040788C">
      <w:pPr>
        <w:pStyle w:val="2"/>
        <w:keepNext w:val="0"/>
        <w:keepLines w:val="0"/>
        <w:pageBreakBefore w:val="0"/>
        <w:widowControl/>
        <w:kinsoku w:val="0"/>
        <w:wordWrap/>
        <w:overflowPunct/>
        <w:topLinePunct w:val="0"/>
        <w:autoSpaceDE w:val="0"/>
        <w:autoSpaceDN w:val="0"/>
        <w:bidi w:val="0"/>
        <w:spacing w:line="560" w:lineRule="exact"/>
        <w:textAlignment w:val="baseline"/>
        <w:rPr>
          <w:color w:val="auto"/>
        </w:rPr>
      </w:pPr>
      <w:bookmarkStart w:id="10" w:name="十二、验收"/>
      <w:bookmarkEnd w:id="10"/>
      <w:r>
        <w:rPr>
          <w:rFonts w:hint="eastAsia" w:ascii="Times New Roman" w:hAnsi="Times New Roman" w:eastAsia="方正黑体_GBK" w:cs="Times New Roman"/>
          <w:b w:val="0"/>
          <w:bCs w:val="0"/>
          <w:snapToGrid w:val="0"/>
          <w:color w:val="auto"/>
          <w:kern w:val="0"/>
          <w:sz w:val="32"/>
          <w:szCs w:val="32"/>
          <w:lang w:val="en-US" w:eastAsia="zh-CN" w:bidi="ar-SA"/>
        </w:rPr>
        <w:t>十二、验收</w:t>
      </w:r>
    </w:p>
    <w:p w14:paraId="736569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5FBB92D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2、产品安装、调试并正常运行后，由乙方进行自检合格后，准备验收文件，并书面通知甲方。</w:t>
      </w:r>
    </w:p>
    <w:p w14:paraId="42E7FC8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3、甲方确认乙方的自检内容后（必要时请有关专家）进行系统验收， 填写项目验收单，作为对设备的最终认可。</w:t>
      </w:r>
    </w:p>
    <w:p w14:paraId="29A3424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4、乙方向甲方提交设备实施过程中的所有资料，以便甲方日后管理和维护。</w:t>
      </w:r>
    </w:p>
    <w:p w14:paraId="066D0EF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5、验收依据：</w:t>
      </w:r>
    </w:p>
    <w:p w14:paraId="714BD11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招标文件、投标文件、澄清表；</w:t>
      </w:r>
    </w:p>
    <w:p w14:paraId="26694D9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r>
        <w:rPr>
          <w:rFonts w:hint="eastAsia" w:ascii="Times New Roman" w:hAnsi="Times New Roman" w:eastAsia="方正仿宋_GBK" w:cs="Times New Roman"/>
          <w:snapToGrid w:val="0"/>
          <w:color w:val="auto"/>
          <w:kern w:val="0"/>
          <w:sz w:val="28"/>
          <w:szCs w:val="28"/>
          <w:lang w:val="en-US" w:eastAsia="en-US" w:bidi="ar-SA"/>
        </w:rPr>
        <w:t>本合同及附件文本等。</w:t>
      </w:r>
      <w:bookmarkStart w:id="11" w:name="十三、技术成果"/>
      <w:bookmarkEnd w:id="11"/>
    </w:p>
    <w:p w14:paraId="36AAE199">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6、如果合同约定的条款内容标准低于乙方投标文件中承诺的内容标准，验收时按照乙方投标文件中承诺的内容标准进行验收。</w:t>
      </w:r>
    </w:p>
    <w:p w14:paraId="29CCBA4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十三、技术成果</w:t>
      </w:r>
    </w:p>
    <w:p w14:paraId="7F15884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因本项目采购形成的技术成果归甲方所有。</w:t>
      </w:r>
    </w:p>
    <w:p w14:paraId="66914830">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2" w:name="十四、知识产权及专利权 "/>
      <w:bookmarkEnd w:id="12"/>
      <w:r>
        <w:rPr>
          <w:rFonts w:hint="eastAsia" w:ascii="Times New Roman" w:hAnsi="Times New Roman" w:eastAsia="方正黑体_GBK" w:cs="Times New Roman"/>
          <w:b w:val="0"/>
          <w:bCs w:val="0"/>
          <w:snapToGrid w:val="0"/>
          <w:color w:val="auto"/>
          <w:kern w:val="0"/>
          <w:sz w:val="32"/>
          <w:szCs w:val="32"/>
          <w:lang w:val="en-US" w:eastAsia="zh-CN" w:bidi="ar-SA"/>
        </w:rPr>
        <w:t>十四、知识产权及专利权</w:t>
      </w:r>
    </w:p>
    <w:p w14:paraId="022737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乙方应当保证在本项目使用的任何产品和服务（包括部分使用）时， 不会产生因第三方提出侵犯其专利权、商标权或其它知识产权而引起的法律和经济纠纷，如因专利权、商标权或其它知识产权而引起法律和经济纠纷，由乙方承担所有相关责任。</w:t>
      </w:r>
    </w:p>
    <w:p w14:paraId="4F2DFAE2">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3" w:name="十五、保密责任"/>
      <w:bookmarkEnd w:id="13"/>
      <w:r>
        <w:rPr>
          <w:rFonts w:hint="eastAsia" w:ascii="Times New Roman" w:hAnsi="Times New Roman" w:eastAsia="方正黑体_GBK" w:cs="Times New Roman"/>
          <w:b w:val="0"/>
          <w:bCs w:val="0"/>
          <w:snapToGrid w:val="0"/>
          <w:color w:val="auto"/>
          <w:kern w:val="0"/>
          <w:sz w:val="32"/>
          <w:szCs w:val="32"/>
          <w:lang w:val="en-US" w:eastAsia="zh-CN" w:bidi="ar-SA"/>
        </w:rPr>
        <w:t>十五、保密责任</w:t>
      </w:r>
    </w:p>
    <w:p w14:paraId="704F0AB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双方均应遵守《中华人民共和国保守国家秘密法》和其它相关规定， 妥善保管对方提供的资料，保守对方的各项秘密，保护对方的知识产权； 未经对方许可，不得利用知悉的对方资料和成果为自己或第三方谋取利益。</w:t>
      </w:r>
    </w:p>
    <w:p w14:paraId="2189EC8F">
      <w:pPr>
        <w:pStyle w:val="2"/>
        <w:keepNext w:val="0"/>
        <w:keepLines w:val="0"/>
        <w:pageBreakBefore w:val="0"/>
        <w:widowControl/>
        <w:kinsoku w:val="0"/>
        <w:wordWrap/>
        <w:overflowPunct/>
        <w:topLinePunct w:val="0"/>
        <w:autoSpaceDE w:val="0"/>
        <w:autoSpaceDN w:val="0"/>
        <w:bidi w:val="0"/>
        <w:spacing w:line="560" w:lineRule="exact"/>
        <w:ind w:left="0" w:leftChars="0" w:firstLine="640" w:firstLineChars="200"/>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4" w:name="十六、通知与送达"/>
      <w:bookmarkEnd w:id="14"/>
      <w:r>
        <w:rPr>
          <w:rFonts w:hint="eastAsia" w:ascii="Times New Roman" w:hAnsi="Times New Roman" w:eastAsia="方正黑体_GBK" w:cs="Times New Roman"/>
          <w:b w:val="0"/>
          <w:bCs w:val="0"/>
          <w:snapToGrid w:val="0"/>
          <w:color w:val="auto"/>
          <w:kern w:val="0"/>
          <w:sz w:val="32"/>
          <w:szCs w:val="32"/>
          <w:lang w:val="en-US" w:eastAsia="zh-CN" w:bidi="ar-SA"/>
        </w:rPr>
        <w:t>十六、通知与送达</w:t>
      </w:r>
    </w:p>
    <w:p w14:paraId="42F10EE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1、甲乙双方应当在 3 天内将与合同有关的通知、批准、证明、证书、指示、指令、要求、请求、同意、意见、确定和决定等书面函件送达对方当事人。</w:t>
      </w:r>
    </w:p>
    <w:p w14:paraId="47B5E14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2、甲乙双方的送达接收人和送达地点以合同中明确的联系人，联系地址为准。双方确保合同中的联系方式真实有效。任何一方合同当事人指定的接收人或送达地点发生变动的，应提前 3 天以书面形式通知对方。</w:t>
      </w:r>
    </w:p>
    <w:p w14:paraId="4D80AF8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3、甲乙双方应当及时签收另一方送达至送达地点和指定接收人的来往信函。拒不签收的，由此增加的费用和（或）延误的交货期由拒绝接收一方承担。</w:t>
      </w:r>
    </w:p>
    <w:p w14:paraId="2D34B8CF">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bookmarkStart w:id="15" w:name="十七、合同争议解决的方式"/>
      <w:bookmarkEnd w:id="15"/>
      <w:r>
        <w:rPr>
          <w:rFonts w:hint="eastAsia" w:ascii="Times New Roman" w:hAnsi="Times New Roman" w:eastAsia="方正黑体_GBK" w:cs="Times New Roman"/>
          <w:b w:val="0"/>
          <w:bCs w:val="0"/>
          <w:snapToGrid w:val="0"/>
          <w:color w:val="auto"/>
          <w:kern w:val="0"/>
          <w:sz w:val="32"/>
          <w:szCs w:val="32"/>
          <w:lang w:val="en-US" w:eastAsia="zh-CN" w:bidi="ar-SA"/>
        </w:rPr>
        <w:t>十七、合同争议解决的方式</w:t>
      </w:r>
    </w:p>
    <w:p w14:paraId="139764B4">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本合同在履行过程中发生的争议，由甲、乙方当事人协商解决；也可由当地市场监督管理部门调解；协商或调解不成的按以下第 2 种方式解决；</w:t>
      </w:r>
    </w:p>
    <w:p w14:paraId="7F0EDB2D">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1、</w:t>
      </w:r>
      <w:r>
        <w:rPr>
          <w:rFonts w:hint="eastAsia" w:ascii="Times New Roman" w:hAnsi="Times New Roman" w:eastAsia="方正仿宋_GBK" w:cs="Times New Roman"/>
          <w:snapToGrid w:val="0"/>
          <w:color w:val="auto"/>
          <w:kern w:val="0"/>
          <w:sz w:val="28"/>
          <w:szCs w:val="28"/>
          <w:lang w:val="en-US" w:eastAsia="en-US" w:bidi="ar-SA"/>
        </w:rPr>
        <w:t>提交</w:t>
      </w:r>
      <w:r>
        <w:rPr>
          <w:rFonts w:hint="eastAsia" w:ascii="Times New Roman" w:hAnsi="Times New Roman" w:eastAsia="方正仿宋_GBK" w:cs="Times New Roman"/>
          <w:snapToGrid w:val="0"/>
          <w:color w:val="auto"/>
          <w:kern w:val="0"/>
          <w:sz w:val="28"/>
          <w:szCs w:val="28"/>
          <w:u w:val="single"/>
          <w:lang w:val="en-US" w:eastAsia="en-US" w:bidi="ar-SA"/>
        </w:rPr>
        <w:t xml:space="preserve"> </w:t>
      </w:r>
      <w:r>
        <w:rPr>
          <w:rFonts w:hint="eastAsia" w:ascii="方正仿宋_GBK" w:hAnsi="方正仿宋_GBK" w:eastAsia="方正仿宋_GBK" w:cs="方正仿宋_GBK"/>
          <w:snapToGrid w:val="0"/>
          <w:color w:val="auto"/>
          <w:kern w:val="0"/>
          <w:sz w:val="28"/>
          <w:szCs w:val="28"/>
          <w:u w:val="single"/>
          <w:lang w:val="en-US" w:eastAsia="zh-CN" w:bidi="ar-SA"/>
        </w:rPr>
        <w:t xml:space="preserve">铜川市 </w:t>
      </w:r>
      <w:r>
        <w:rPr>
          <w:rFonts w:hint="eastAsia" w:ascii="Times New Roman" w:hAnsi="Times New Roman" w:eastAsia="方正仿宋_GBK" w:cs="Times New Roman"/>
          <w:snapToGrid w:val="0"/>
          <w:color w:val="auto"/>
          <w:kern w:val="0"/>
          <w:sz w:val="28"/>
          <w:szCs w:val="28"/>
          <w:lang w:val="en-US" w:eastAsia="en-US" w:bidi="ar-SA"/>
        </w:rPr>
        <w:t>仲裁委员会仲裁；</w:t>
      </w:r>
    </w:p>
    <w:p w14:paraId="2C9A7F32">
      <w:pPr>
        <w:pStyle w:val="3"/>
        <w:keepNext w:val="0"/>
        <w:keepLines w:val="0"/>
        <w:pageBreakBefore w:val="0"/>
        <w:widowControl/>
        <w:kinsoku w:val="0"/>
        <w:wordWrap/>
        <w:overflowPunct/>
        <w:topLinePunct w:val="0"/>
        <w:autoSpaceDE w:val="0"/>
        <w:autoSpaceDN w:val="0"/>
        <w:bidi w:val="0"/>
        <w:adjustRightInd w:val="0"/>
        <w:snapToGrid w:val="0"/>
        <w:spacing w:line="560" w:lineRule="exact"/>
        <w:ind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zh-CN" w:bidi="ar-SA"/>
        </w:rPr>
        <w:t>2、</w:t>
      </w:r>
      <w:bookmarkStart w:id="16" w:name="十八、其他事项"/>
      <w:bookmarkEnd w:id="16"/>
      <w:r>
        <w:rPr>
          <w:rFonts w:hint="eastAsia" w:ascii="华文仿宋" w:hAnsi="华文仿宋" w:eastAsia="华文仿宋" w:cs="华文仿宋"/>
          <w:color w:val="auto"/>
          <w:sz w:val="28"/>
          <w:szCs w:val="28"/>
          <w:highlight w:val="none"/>
          <w:lang w:val="en-US" w:eastAsia="zh-CN"/>
        </w:rPr>
        <w:t>依法向甲方所在地人民法院提起诉讼。</w:t>
      </w:r>
    </w:p>
    <w:p w14:paraId="12580EB0">
      <w:pPr>
        <w:pStyle w:val="2"/>
        <w:keepNext w:val="0"/>
        <w:keepLines w:val="0"/>
        <w:pageBreakBefore w:val="0"/>
        <w:widowControl/>
        <w:kinsoku w:val="0"/>
        <w:wordWrap/>
        <w:overflowPunct/>
        <w:topLinePunct w:val="0"/>
        <w:autoSpaceDE w:val="0"/>
        <w:autoSpaceDN w:val="0"/>
        <w:bidi w:val="0"/>
        <w:spacing w:line="560" w:lineRule="exact"/>
        <w:textAlignment w:val="baseline"/>
        <w:rPr>
          <w:rFonts w:hint="eastAsia" w:ascii="Times New Roman" w:hAnsi="Times New Roman" w:eastAsia="方正黑体_GBK" w:cs="Times New Roman"/>
          <w:b w:val="0"/>
          <w:bCs w:val="0"/>
          <w:snapToGrid w:val="0"/>
          <w:color w:val="auto"/>
          <w:kern w:val="0"/>
          <w:sz w:val="32"/>
          <w:szCs w:val="32"/>
          <w:lang w:val="en-US" w:eastAsia="zh-CN" w:bidi="ar-SA"/>
        </w:rPr>
      </w:pPr>
      <w:r>
        <w:rPr>
          <w:rFonts w:hint="eastAsia" w:ascii="Times New Roman" w:hAnsi="Times New Roman" w:eastAsia="方正黑体_GBK" w:cs="Times New Roman"/>
          <w:b w:val="0"/>
          <w:bCs w:val="0"/>
          <w:snapToGrid w:val="0"/>
          <w:color w:val="auto"/>
          <w:kern w:val="0"/>
          <w:sz w:val="32"/>
          <w:szCs w:val="32"/>
          <w:lang w:val="en-US" w:eastAsia="zh-CN" w:bidi="ar-SA"/>
        </w:rPr>
        <w:t>十八、其他事项</w:t>
      </w:r>
    </w:p>
    <w:p w14:paraId="072BB26F">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1、招标文件、投标文件、澄清表（函）、合同附件均成为合同不可分割的部分。</w:t>
      </w:r>
    </w:p>
    <w:p w14:paraId="3A5C898E">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2、合同未尽事宜，由甲、乙双方协商，另行签订补充合同，为本合同有效组成部分。</w:t>
      </w:r>
    </w:p>
    <w:p w14:paraId="2A177791">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本合同一式肆份，甲方、乙方各执贰份。双方法定代表人或委托代理人签字并加盖公章后生效，合同执行完毕自动终止。（合同的服务承诺则长期有效）。</w:t>
      </w:r>
    </w:p>
    <w:p w14:paraId="3B8CA8C6">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5CCD0C95">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eastAsia" w:ascii="Times New Roman" w:hAnsi="Times New Roman" w:eastAsia="方正仿宋_GBK" w:cs="Times New Roman"/>
          <w:snapToGrid w:val="0"/>
          <w:color w:val="auto"/>
          <w:kern w:val="0"/>
          <w:sz w:val="28"/>
          <w:szCs w:val="28"/>
          <w:lang w:val="en-US" w:eastAsia="en-US" w:bidi="ar-SA"/>
        </w:rPr>
      </w:pPr>
    </w:p>
    <w:p w14:paraId="397D0046">
      <w:pPr>
        <w:keepNext w:val="0"/>
        <w:keepLines w:val="0"/>
        <w:pageBreakBefore w:val="0"/>
        <w:widowControl/>
        <w:kinsoku w:val="0"/>
        <w:wordWrap/>
        <w:overflowPunct/>
        <w:topLinePunct w:val="0"/>
        <w:autoSpaceDE w:val="0"/>
        <w:autoSpaceDN w:val="0"/>
        <w:bidi w:val="0"/>
        <w:adjustRightInd/>
        <w:snapToGrid/>
        <w:spacing w:line="360" w:lineRule="auto"/>
        <w:jc w:val="both"/>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甲方：</w:t>
      </w:r>
      <w:r>
        <w:rPr>
          <w:rFonts w:hint="eastAsia" w:ascii="Times New Roman" w:hAnsi="Times New Roman" w:eastAsia="方正仿宋_GBK" w:cs="Times New Roman"/>
          <w:snapToGrid w:val="0"/>
          <w:color w:val="auto"/>
          <w:kern w:val="0"/>
          <w:sz w:val="28"/>
          <w:szCs w:val="28"/>
          <w:lang w:val="en-US" w:eastAsia="zh-CN" w:bidi="ar-SA"/>
        </w:rPr>
        <w:t>铜川</w:t>
      </w:r>
      <w:r>
        <w:rPr>
          <w:rFonts w:hint="default" w:ascii="Times New Roman" w:hAnsi="Times New Roman" w:eastAsia="方正仿宋_GBK" w:cs="Times New Roman"/>
          <w:snapToGrid w:val="0"/>
          <w:color w:val="auto"/>
          <w:kern w:val="0"/>
          <w:sz w:val="28"/>
          <w:szCs w:val="28"/>
          <w:lang w:val="en-US" w:eastAsia="zh-CN" w:bidi="ar-SA"/>
        </w:rPr>
        <w:t>市消防救援支队</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乙方：</w:t>
      </w:r>
      <w:r>
        <w:rPr>
          <w:rFonts w:hint="eastAsia" w:ascii="Times New Roman" w:hAnsi="Times New Roman" w:eastAsia="方正仿宋_GBK" w:cs="Times New Roman"/>
          <w:snapToGrid w:val="0"/>
          <w:color w:val="auto"/>
          <w:kern w:val="0"/>
          <w:sz w:val="28"/>
          <w:szCs w:val="28"/>
          <w:lang w:val="en-US" w:eastAsia="zh-CN" w:bidi="ar-SA"/>
        </w:rPr>
        <w:t>XXXXXXXXXX</w:t>
      </w:r>
      <w:r>
        <w:rPr>
          <w:rFonts w:hint="default" w:ascii="Times New Roman" w:hAnsi="Times New Roman" w:eastAsia="方正仿宋_GBK" w:cs="Times New Roman"/>
          <w:snapToGrid w:val="0"/>
          <w:color w:val="auto"/>
          <w:kern w:val="0"/>
          <w:sz w:val="28"/>
          <w:szCs w:val="28"/>
          <w:lang w:val="en-US" w:eastAsia="zh-CN" w:bidi="ar-SA"/>
        </w:rPr>
        <w:t>有限公司</w:t>
      </w:r>
    </w:p>
    <w:p w14:paraId="6656D87C">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地</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en-US" w:bidi="ar-SA"/>
        </w:rPr>
        <w:t>址：</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地址：</w:t>
      </w:r>
    </w:p>
    <w:p w14:paraId="2BDAFFBE">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法定代表人（委托代理人）：</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法定代表人（委托代理人）：</w:t>
      </w:r>
    </w:p>
    <w:p w14:paraId="6FA11139">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联</w:t>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系 电 话：</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联 系 电 话：</w:t>
      </w:r>
    </w:p>
    <w:p w14:paraId="6630453F">
      <w:pPr>
        <w:pStyle w:val="3"/>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Times New Roman" w:hAnsi="Times New Roman" w:eastAsia="方正仿宋_GBK" w:cs="Times New Roman"/>
          <w:snapToGrid w:val="0"/>
          <w:color w:val="auto"/>
          <w:kern w:val="0"/>
          <w:sz w:val="28"/>
          <w:szCs w:val="28"/>
          <w:lang w:val="en-US" w:eastAsia="en-US" w:bidi="ar-SA"/>
        </w:rPr>
      </w:pPr>
      <w:r>
        <w:rPr>
          <w:rFonts w:hint="eastAsia" w:ascii="Times New Roman" w:hAnsi="Times New Roman" w:eastAsia="方正仿宋_GBK" w:cs="Times New Roman"/>
          <w:snapToGrid w:val="0"/>
          <w:color w:val="auto"/>
          <w:kern w:val="0"/>
          <w:sz w:val="28"/>
          <w:szCs w:val="28"/>
          <w:lang w:val="en-US" w:eastAsia="en-US" w:bidi="ar-SA"/>
        </w:rPr>
        <w:t>签 订 日 期：</w:t>
      </w:r>
      <w:r>
        <w:rPr>
          <w:rFonts w:hint="eastAsia" w:ascii="Times New Roman" w:hAnsi="Times New Roman" w:eastAsia="方正仿宋_GBK" w:cs="Times New Roman"/>
          <w:snapToGrid w:val="0"/>
          <w:color w:val="auto"/>
          <w:kern w:val="0"/>
          <w:sz w:val="28"/>
          <w:szCs w:val="28"/>
          <w:lang w:val="en-US" w:eastAsia="en-US" w:bidi="ar-SA"/>
        </w:rPr>
        <w:tab/>
      </w:r>
      <w:r>
        <w:rPr>
          <w:rFonts w:hint="eastAsia" w:ascii="Times New Roman" w:hAnsi="Times New Roman" w:eastAsia="方正仿宋_GBK" w:cs="Times New Roman"/>
          <w:snapToGrid w:val="0"/>
          <w:color w:val="auto"/>
          <w:kern w:val="0"/>
          <w:sz w:val="28"/>
          <w:szCs w:val="28"/>
          <w:lang w:val="en-US" w:eastAsia="zh-CN" w:bidi="ar-SA"/>
        </w:rPr>
        <w:t xml:space="preserve">                 </w:t>
      </w:r>
      <w:r>
        <w:rPr>
          <w:rFonts w:hint="eastAsia" w:ascii="Times New Roman" w:hAnsi="Times New Roman" w:eastAsia="方正仿宋_GBK" w:cs="Times New Roman"/>
          <w:snapToGrid w:val="0"/>
          <w:color w:val="auto"/>
          <w:kern w:val="0"/>
          <w:sz w:val="28"/>
          <w:szCs w:val="28"/>
          <w:lang w:val="en-US" w:eastAsia="en-US" w:bidi="ar-SA"/>
        </w:rPr>
        <w:t>签 订 日 期：</w:t>
      </w:r>
    </w:p>
    <w:p w14:paraId="283DAADB">
      <w:pPr>
        <w:pStyle w:val="3"/>
        <w:keepNext w:val="0"/>
        <w:keepLines w:val="0"/>
        <w:pageBreakBefore w:val="0"/>
        <w:widowControl/>
        <w:kinsoku w:val="0"/>
        <w:wordWrap/>
        <w:overflowPunct/>
        <w:topLinePunct w:val="0"/>
        <w:autoSpaceDE w:val="0"/>
        <w:autoSpaceDN w:val="0"/>
        <w:bidi w:val="0"/>
        <w:adjustRightInd w:val="0"/>
        <w:snapToGrid w:val="0"/>
        <w:spacing w:line="560" w:lineRule="exact"/>
        <w:ind w:left="0" w:firstLine="560" w:firstLineChars="200"/>
        <w:textAlignment w:val="baseline"/>
        <w:rPr>
          <w:rFonts w:hint="default" w:ascii="Times New Roman" w:hAnsi="Times New Roman" w:eastAsia="方正仿宋_GBK" w:cs="Times New Roman"/>
          <w:snapToGrid w:val="0"/>
          <w:color w:val="auto"/>
          <w:kern w:val="0"/>
          <w:sz w:val="28"/>
          <w:szCs w:val="28"/>
          <w:lang w:val="en-US" w:eastAsia="zh-CN" w:bidi="ar-SA"/>
        </w:rPr>
      </w:pPr>
    </w:p>
    <w:p w14:paraId="7A5EB8B9">
      <w:pPr>
        <w:rPr>
          <w:color w:val="auto"/>
        </w:rPr>
      </w:pPr>
    </w:p>
    <w:p w14:paraId="65DDD4B1">
      <w:pPr>
        <w:rPr>
          <w:color w:val="auto"/>
        </w:rPr>
      </w:pPr>
    </w:p>
    <w:p w14:paraId="377FFC6C">
      <w:pPr>
        <w:rPr>
          <w:color w:val="auto"/>
        </w:rPr>
      </w:pPr>
    </w:p>
    <w:p w14:paraId="680049B2">
      <w:pPr>
        <w:rPr>
          <w:color w:val="auto"/>
        </w:rPr>
      </w:pPr>
    </w:p>
    <w:p w14:paraId="7F056B2E">
      <w:pPr>
        <w:rPr>
          <w:color w:val="auto"/>
        </w:rPr>
      </w:pPr>
    </w:p>
    <w:p w14:paraId="30F9EC59">
      <w:pPr>
        <w:rPr>
          <w:color w:val="auto"/>
        </w:rPr>
      </w:pPr>
    </w:p>
    <w:p w14:paraId="5B348642">
      <w:pPr>
        <w:rPr>
          <w:color w:val="auto"/>
        </w:rPr>
      </w:pPr>
    </w:p>
    <w:p w14:paraId="4B96445D">
      <w:pPr>
        <w:rPr>
          <w:color w:val="auto"/>
        </w:rPr>
      </w:pPr>
    </w:p>
    <w:p w14:paraId="10FB369B">
      <w:pPr>
        <w:rPr>
          <w:color w:val="auto"/>
        </w:rPr>
      </w:pPr>
    </w:p>
    <w:p w14:paraId="6C461192">
      <w:pPr>
        <w:rPr>
          <w:color w:val="auto"/>
        </w:rPr>
      </w:pPr>
    </w:p>
    <w:p w14:paraId="5B8AE1D9">
      <w:pPr>
        <w:rPr>
          <w:color w:val="auto"/>
        </w:rPr>
      </w:pPr>
    </w:p>
    <w:p w14:paraId="5685CE66">
      <w:pPr>
        <w:rPr>
          <w:color w:val="auto"/>
        </w:rPr>
      </w:pPr>
    </w:p>
    <w:p w14:paraId="110F309B">
      <w:pPr>
        <w:rPr>
          <w:color w:val="auto"/>
        </w:rPr>
      </w:pPr>
    </w:p>
    <w:p w14:paraId="3B58007C">
      <w:pPr>
        <w:rPr>
          <w:color w:val="auto"/>
        </w:rPr>
      </w:pPr>
    </w:p>
    <w:p w14:paraId="52F41175">
      <w:pPr>
        <w:rPr>
          <w:color w:val="auto"/>
        </w:rPr>
      </w:pPr>
    </w:p>
    <w:p w14:paraId="37E7EB9E">
      <w:pPr>
        <w:rPr>
          <w:color w:val="auto"/>
        </w:rPr>
      </w:pPr>
    </w:p>
    <w:p w14:paraId="32092DCE">
      <w:pPr>
        <w:rPr>
          <w:color w:val="auto"/>
        </w:rPr>
      </w:pPr>
    </w:p>
    <w:p w14:paraId="7D3C309D">
      <w:pPr>
        <w:rPr>
          <w:color w:val="auto"/>
        </w:rPr>
      </w:pPr>
    </w:p>
    <w:p w14:paraId="6CFDDC65">
      <w:pPr>
        <w:rPr>
          <w:color w:val="auto"/>
        </w:rPr>
      </w:pPr>
    </w:p>
    <w:p w14:paraId="4500487F">
      <w:pPr>
        <w:rPr>
          <w:color w:val="auto"/>
        </w:rPr>
      </w:pPr>
    </w:p>
    <w:p w14:paraId="21641A8C">
      <w:pPr>
        <w:rPr>
          <w:color w:val="auto"/>
        </w:rPr>
      </w:pPr>
    </w:p>
    <w:p w14:paraId="1B78B74B">
      <w:pPr>
        <w:rPr>
          <w:color w:val="auto"/>
        </w:rPr>
      </w:pPr>
    </w:p>
    <w:p w14:paraId="26B3A308">
      <w:pPr>
        <w:rPr>
          <w:color w:val="auto"/>
        </w:rPr>
      </w:pPr>
    </w:p>
    <w:p w14:paraId="4BBDA485">
      <w:pPr>
        <w:rPr>
          <w:color w:val="auto"/>
        </w:rPr>
      </w:pPr>
    </w:p>
    <w:p w14:paraId="0C1A3743">
      <w:pPr>
        <w:rPr>
          <w:color w:val="auto"/>
        </w:rPr>
      </w:pPr>
    </w:p>
    <w:p w14:paraId="491FC453">
      <w:pPr>
        <w:rPr>
          <w:color w:val="auto"/>
        </w:rPr>
      </w:pPr>
    </w:p>
    <w:p w14:paraId="1319CC15">
      <w:pPr>
        <w:rPr>
          <w:color w:val="auto"/>
        </w:rPr>
      </w:pPr>
    </w:p>
    <w:p w14:paraId="4C8D8622">
      <w:pPr>
        <w:spacing w:before="284" w:line="211" w:lineRule="auto"/>
        <w:ind w:left="136"/>
        <w:rPr>
          <w:rFonts w:ascii="仿宋" w:hAnsi="仿宋" w:eastAsia="仿宋" w:cs="仿宋"/>
          <w:color w:val="auto"/>
          <w:sz w:val="28"/>
          <w:szCs w:val="28"/>
        </w:rPr>
      </w:pPr>
      <w:r>
        <w:rPr>
          <w:rFonts w:ascii="黑体" w:hAnsi="黑体" w:eastAsia="黑体" w:cs="黑体"/>
          <w:color w:val="auto"/>
          <w:spacing w:val="1"/>
          <w:sz w:val="28"/>
          <w:szCs w:val="28"/>
        </w:rPr>
        <w:t>附件</w:t>
      </w:r>
      <w:r>
        <w:rPr>
          <w:rFonts w:ascii="黑体" w:hAnsi="黑体" w:eastAsia="黑体" w:cs="黑体"/>
          <w:color w:val="auto"/>
          <w:spacing w:val="-41"/>
          <w:sz w:val="28"/>
          <w:szCs w:val="28"/>
        </w:rPr>
        <w:t xml:space="preserve"> </w:t>
      </w:r>
      <w:r>
        <w:rPr>
          <w:rFonts w:ascii="黑体" w:hAnsi="黑体" w:eastAsia="黑体" w:cs="黑体"/>
          <w:color w:val="auto"/>
          <w:spacing w:val="1"/>
          <w:sz w:val="28"/>
          <w:szCs w:val="28"/>
        </w:rPr>
        <w:t>1：</w:t>
      </w:r>
      <w:r>
        <w:rPr>
          <w:rFonts w:ascii="仿宋" w:hAnsi="仿宋" w:eastAsia="仿宋" w:cs="仿宋"/>
          <w:color w:val="auto"/>
          <w:spacing w:val="1"/>
          <w:sz w:val="28"/>
          <w:szCs w:val="28"/>
        </w:rPr>
        <w:t>提供产品详细的中文技术规格书和外</w:t>
      </w:r>
      <w:r>
        <w:rPr>
          <w:rFonts w:ascii="仿宋" w:hAnsi="仿宋" w:eastAsia="仿宋" w:cs="仿宋"/>
          <w:color w:val="auto"/>
          <w:sz w:val="28"/>
          <w:szCs w:val="28"/>
        </w:rPr>
        <w:t>观照片。</w:t>
      </w:r>
    </w:p>
    <w:tbl>
      <w:tblPr>
        <w:tblStyle w:val="8"/>
        <w:tblW w:w="98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07"/>
        <w:gridCol w:w="737"/>
        <w:gridCol w:w="982"/>
        <w:gridCol w:w="5343"/>
        <w:gridCol w:w="2065"/>
      </w:tblGrid>
      <w:tr w14:paraId="6D92D7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top"/>
          </w:tcPr>
          <w:p w14:paraId="4807071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序号</w:t>
            </w:r>
          </w:p>
        </w:tc>
        <w:tc>
          <w:tcPr>
            <w:tcW w:w="737" w:type="dxa"/>
            <w:vAlign w:val="top"/>
          </w:tcPr>
          <w:p w14:paraId="71F29AD2">
            <w:pPr>
              <w:pStyle w:val="7"/>
              <w:spacing w:before="202" w:line="221"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产品名称</w:t>
            </w:r>
          </w:p>
        </w:tc>
        <w:tc>
          <w:tcPr>
            <w:tcW w:w="982" w:type="dxa"/>
            <w:vAlign w:val="top"/>
          </w:tcPr>
          <w:p w14:paraId="288B0AA2">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品牌、规格型号</w:t>
            </w:r>
          </w:p>
        </w:tc>
        <w:tc>
          <w:tcPr>
            <w:tcW w:w="5343" w:type="dxa"/>
            <w:vAlign w:val="top"/>
          </w:tcPr>
          <w:p w14:paraId="5399B76C">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规格及技术参数</w:t>
            </w:r>
          </w:p>
        </w:tc>
        <w:tc>
          <w:tcPr>
            <w:tcW w:w="2065" w:type="dxa"/>
            <w:vAlign w:val="top"/>
          </w:tcPr>
          <w:p w14:paraId="78DF1C6C">
            <w:pPr>
              <w:pStyle w:val="7"/>
              <w:spacing w:before="202" w:line="223"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产品图片</w:t>
            </w:r>
          </w:p>
        </w:tc>
      </w:tr>
      <w:tr w14:paraId="4DB71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9A6BC55">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1</w:t>
            </w:r>
          </w:p>
        </w:tc>
        <w:tc>
          <w:tcPr>
            <w:tcW w:w="737" w:type="dxa"/>
            <w:vAlign w:val="center"/>
          </w:tcPr>
          <w:p w14:paraId="4826A5FD">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6E4A8E8E">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A7A470D">
            <w:pPr>
              <w:pStyle w:val="7"/>
              <w:spacing w:before="202" w:line="222" w:lineRule="auto"/>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03275ADF">
            <w:pPr>
              <w:pStyle w:val="7"/>
              <w:spacing w:before="202" w:line="223" w:lineRule="auto"/>
              <w:jc w:val="center"/>
              <w:rPr>
                <w:rFonts w:hint="eastAsia" w:eastAsia="仿宋"/>
                <w:color w:val="auto"/>
                <w:spacing w:val="-3"/>
                <w:lang w:eastAsia="zh-CN"/>
              </w:rPr>
            </w:pPr>
          </w:p>
        </w:tc>
      </w:tr>
      <w:tr w14:paraId="72379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C8476B">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2</w:t>
            </w:r>
          </w:p>
        </w:tc>
        <w:tc>
          <w:tcPr>
            <w:tcW w:w="737" w:type="dxa"/>
            <w:vAlign w:val="center"/>
          </w:tcPr>
          <w:p w14:paraId="2B02FAC3">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56C39FC6">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top"/>
          </w:tcPr>
          <w:p w14:paraId="4E820540">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62ECCABB">
            <w:pPr>
              <w:pStyle w:val="7"/>
              <w:spacing w:before="202" w:line="223" w:lineRule="auto"/>
              <w:jc w:val="center"/>
              <w:rPr>
                <w:rFonts w:hint="eastAsia" w:eastAsia="仿宋"/>
                <w:color w:val="auto"/>
                <w:spacing w:val="-3"/>
                <w:lang w:eastAsia="zh-CN"/>
              </w:rPr>
            </w:pPr>
          </w:p>
        </w:tc>
      </w:tr>
      <w:tr w14:paraId="351AA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2F3A0272">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3</w:t>
            </w:r>
          </w:p>
        </w:tc>
        <w:tc>
          <w:tcPr>
            <w:tcW w:w="737" w:type="dxa"/>
            <w:vAlign w:val="center"/>
          </w:tcPr>
          <w:p w14:paraId="3E16CDD1">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13BE299A">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49712AF9">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7B7E4B3D">
            <w:pPr>
              <w:pStyle w:val="7"/>
              <w:spacing w:before="202" w:line="223" w:lineRule="auto"/>
              <w:jc w:val="center"/>
              <w:rPr>
                <w:rFonts w:hint="eastAsia" w:eastAsia="仿宋"/>
                <w:color w:val="auto"/>
                <w:spacing w:val="-3"/>
                <w:lang w:eastAsia="zh-CN"/>
              </w:rPr>
            </w:pPr>
          </w:p>
        </w:tc>
      </w:tr>
      <w:tr w14:paraId="5DD726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07" w:type="dxa"/>
            <w:vAlign w:val="center"/>
          </w:tcPr>
          <w:p w14:paraId="03A43A0A">
            <w:pPr>
              <w:pStyle w:val="7"/>
              <w:spacing w:before="202" w:line="222" w:lineRule="auto"/>
              <w:jc w:val="center"/>
              <w:rPr>
                <w:rFonts w:hint="default" w:ascii="方正仿宋_GBK" w:hAnsi="方正仿宋_GBK" w:eastAsia="方正仿宋_GBK" w:cs="方正仿宋_GBK"/>
                <w:snapToGrid w:val="0"/>
                <w:color w:val="auto"/>
                <w:kern w:val="0"/>
                <w:sz w:val="28"/>
                <w:szCs w:val="28"/>
                <w:lang w:val="en-US" w:eastAsia="zh-CN" w:bidi="ar-SA"/>
              </w:rPr>
            </w:pPr>
            <w:r>
              <w:rPr>
                <w:rFonts w:hint="eastAsia" w:ascii="方正仿宋_GBK" w:hAnsi="方正仿宋_GBK" w:eastAsia="方正仿宋_GBK" w:cs="方正仿宋_GBK"/>
                <w:snapToGrid w:val="0"/>
                <w:color w:val="auto"/>
                <w:kern w:val="0"/>
                <w:sz w:val="28"/>
                <w:szCs w:val="28"/>
                <w:lang w:val="en-US" w:eastAsia="zh-CN" w:bidi="ar-SA"/>
              </w:rPr>
              <w:t>……</w:t>
            </w:r>
          </w:p>
        </w:tc>
        <w:tc>
          <w:tcPr>
            <w:tcW w:w="737" w:type="dxa"/>
            <w:vAlign w:val="center"/>
          </w:tcPr>
          <w:p w14:paraId="48225C2F">
            <w:pPr>
              <w:pStyle w:val="7"/>
              <w:spacing w:before="202" w:line="222" w:lineRule="auto"/>
              <w:jc w:val="center"/>
              <w:rPr>
                <w:rFonts w:hint="eastAsia" w:ascii="方正仿宋_GBK" w:hAnsi="方正仿宋_GBK" w:eastAsia="方正仿宋_GBK" w:cs="方正仿宋_GBK"/>
                <w:snapToGrid w:val="0"/>
                <w:color w:val="auto"/>
                <w:kern w:val="0"/>
                <w:sz w:val="28"/>
                <w:szCs w:val="28"/>
                <w:lang w:val="en-US" w:eastAsia="zh-CN" w:bidi="ar-SA"/>
              </w:rPr>
            </w:pPr>
          </w:p>
        </w:tc>
        <w:tc>
          <w:tcPr>
            <w:tcW w:w="982" w:type="dxa"/>
            <w:vAlign w:val="center"/>
          </w:tcPr>
          <w:p w14:paraId="28571A6C">
            <w:pPr>
              <w:jc w:val="center"/>
              <w:rPr>
                <w:rFonts w:hint="eastAsia" w:ascii="方正仿宋_GBK" w:hAnsi="方正仿宋_GBK" w:eastAsia="方正仿宋_GBK" w:cs="方正仿宋_GBK"/>
                <w:snapToGrid w:val="0"/>
                <w:color w:val="auto"/>
                <w:kern w:val="0"/>
                <w:sz w:val="28"/>
                <w:szCs w:val="28"/>
                <w:lang w:val="en-US" w:eastAsia="zh-CN" w:bidi="ar-SA"/>
              </w:rPr>
            </w:pPr>
          </w:p>
        </w:tc>
        <w:tc>
          <w:tcPr>
            <w:tcW w:w="5343" w:type="dxa"/>
            <w:vAlign w:val="center"/>
          </w:tcPr>
          <w:p w14:paraId="0B52A79F">
            <w:pPr>
              <w:bidi w:val="0"/>
              <w:jc w:val="left"/>
              <w:rPr>
                <w:rFonts w:hint="eastAsia" w:ascii="方正仿宋_GBK" w:hAnsi="方正仿宋_GBK" w:eastAsia="方正仿宋_GBK" w:cs="方正仿宋_GBK"/>
                <w:snapToGrid w:val="0"/>
                <w:color w:val="auto"/>
                <w:kern w:val="0"/>
                <w:sz w:val="28"/>
                <w:szCs w:val="28"/>
                <w:lang w:val="en-US" w:eastAsia="zh-CN" w:bidi="ar-SA"/>
              </w:rPr>
            </w:pPr>
          </w:p>
        </w:tc>
        <w:tc>
          <w:tcPr>
            <w:tcW w:w="2065" w:type="dxa"/>
            <w:vAlign w:val="center"/>
          </w:tcPr>
          <w:p w14:paraId="3AF1D91D">
            <w:pPr>
              <w:pStyle w:val="7"/>
              <w:spacing w:before="202" w:line="223" w:lineRule="auto"/>
              <w:jc w:val="center"/>
              <w:rPr>
                <w:rFonts w:hint="eastAsia" w:eastAsia="仿宋"/>
                <w:color w:val="auto"/>
                <w:spacing w:val="-3"/>
                <w:lang w:eastAsia="zh-CN"/>
              </w:rPr>
            </w:pPr>
          </w:p>
        </w:tc>
      </w:tr>
    </w:tbl>
    <w:p w14:paraId="109CD465">
      <w:pPr>
        <w:rPr>
          <w:rFonts w:ascii="黑体" w:hAnsi="黑体" w:eastAsia="黑体" w:cs="黑体"/>
          <w:color w:val="auto"/>
          <w:spacing w:val="6"/>
          <w:sz w:val="28"/>
          <w:szCs w:val="28"/>
        </w:rPr>
      </w:pPr>
    </w:p>
    <w:p w14:paraId="66D35811">
      <w:pPr>
        <w:rPr>
          <w:rFonts w:ascii="黑体" w:hAnsi="黑体" w:eastAsia="黑体" w:cs="黑体"/>
          <w:color w:val="auto"/>
          <w:spacing w:val="6"/>
          <w:sz w:val="28"/>
          <w:szCs w:val="28"/>
        </w:rPr>
      </w:pPr>
    </w:p>
    <w:p w14:paraId="56AC264E">
      <w:pPr>
        <w:rPr>
          <w:rFonts w:hint="eastAsia" w:ascii="方正仿宋_GBK" w:hAnsi="方正仿宋_GBK" w:eastAsia="方正仿宋_GBK" w:cs="方正仿宋_GBK"/>
          <w:snapToGrid w:val="0"/>
          <w:color w:val="auto"/>
          <w:kern w:val="0"/>
          <w:sz w:val="28"/>
          <w:szCs w:val="28"/>
          <w:lang w:val="en-US" w:eastAsia="zh-CN" w:bidi="ar-SA"/>
        </w:rPr>
      </w:pPr>
      <w:r>
        <w:rPr>
          <w:rFonts w:ascii="黑体" w:hAnsi="黑体" w:eastAsia="黑体" w:cs="黑体"/>
          <w:color w:val="auto"/>
          <w:spacing w:val="6"/>
          <w:sz w:val="28"/>
          <w:szCs w:val="28"/>
        </w:rPr>
        <w:t>附件2：</w:t>
      </w:r>
      <w:r>
        <w:rPr>
          <w:rFonts w:hint="eastAsia" w:ascii="方正仿宋_GBK" w:hAnsi="方正仿宋_GBK" w:eastAsia="方正仿宋_GBK" w:cs="方正仿宋_GBK"/>
          <w:snapToGrid w:val="0"/>
          <w:color w:val="auto"/>
          <w:kern w:val="0"/>
          <w:sz w:val="28"/>
          <w:szCs w:val="28"/>
          <w:lang w:val="en-US" w:eastAsia="zh-CN" w:bidi="ar-SA"/>
        </w:rPr>
        <w:t>零部件及备品备件清单</w:t>
      </w:r>
    </w:p>
    <w:tbl>
      <w:tblPr>
        <w:tblStyle w:val="8"/>
        <w:tblW w:w="8907" w:type="dxa"/>
        <w:tblInd w:w="8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10"/>
        <w:gridCol w:w="961"/>
        <w:gridCol w:w="1285"/>
        <w:gridCol w:w="1394"/>
        <w:gridCol w:w="1069"/>
        <w:gridCol w:w="1237"/>
        <w:gridCol w:w="1223"/>
        <w:gridCol w:w="1228"/>
      </w:tblGrid>
      <w:tr w14:paraId="140328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9" w:hRule="atLeast"/>
        </w:trPr>
        <w:tc>
          <w:tcPr>
            <w:tcW w:w="510" w:type="dxa"/>
            <w:textDirection w:val="tbRlV"/>
            <w:vAlign w:val="center"/>
          </w:tcPr>
          <w:p w14:paraId="7E114668">
            <w:pPr>
              <w:pStyle w:val="7"/>
              <w:spacing w:before="133" w:line="202" w:lineRule="auto"/>
              <w:ind w:left="0" w:leftChars="0" w:firstLine="0" w:firstLineChars="0"/>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序号</w:t>
            </w:r>
          </w:p>
        </w:tc>
        <w:tc>
          <w:tcPr>
            <w:tcW w:w="961" w:type="dxa"/>
            <w:vAlign w:val="center"/>
          </w:tcPr>
          <w:p w14:paraId="4EB844A4">
            <w:pPr>
              <w:pStyle w:val="7"/>
              <w:spacing w:before="127" w:line="224" w:lineRule="auto"/>
              <w:jc w:val="center"/>
              <w:rPr>
                <w:rFonts w:hint="eastAsia" w:ascii="方正仿宋_GBK" w:hAnsi="方正仿宋_GBK" w:eastAsia="方正仿宋_GBK" w:cs="方正仿宋_GBK"/>
                <w:color w:val="auto"/>
                <w:spacing w:val="-8"/>
                <w:sz w:val="28"/>
                <w:szCs w:val="28"/>
              </w:rPr>
            </w:pPr>
            <w:r>
              <w:rPr>
                <w:rFonts w:hint="eastAsia" w:ascii="方正仿宋_GBK" w:hAnsi="方正仿宋_GBK" w:eastAsia="方正仿宋_GBK" w:cs="方正仿宋_GBK"/>
                <w:color w:val="auto"/>
                <w:spacing w:val="-8"/>
                <w:sz w:val="28"/>
                <w:szCs w:val="28"/>
              </w:rPr>
              <w:t>产品</w:t>
            </w:r>
          </w:p>
          <w:p w14:paraId="5EEB02A5">
            <w:pPr>
              <w:pStyle w:val="7"/>
              <w:spacing w:before="127" w:line="224"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8"/>
                <w:sz w:val="28"/>
                <w:szCs w:val="28"/>
              </w:rPr>
              <w:t>名称</w:t>
            </w:r>
          </w:p>
        </w:tc>
        <w:tc>
          <w:tcPr>
            <w:tcW w:w="1285" w:type="dxa"/>
            <w:vAlign w:val="center"/>
          </w:tcPr>
          <w:p w14:paraId="4B87735F">
            <w:pPr>
              <w:pStyle w:val="7"/>
              <w:spacing w:before="308"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5"/>
                <w:sz w:val="28"/>
                <w:szCs w:val="28"/>
              </w:rPr>
              <w:t>型号规格</w:t>
            </w:r>
          </w:p>
        </w:tc>
        <w:tc>
          <w:tcPr>
            <w:tcW w:w="1394" w:type="dxa"/>
            <w:vAlign w:val="center"/>
          </w:tcPr>
          <w:p w14:paraId="1953985B">
            <w:pPr>
              <w:pStyle w:val="7"/>
              <w:spacing w:before="307" w:line="222"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制造厂商</w:t>
            </w:r>
          </w:p>
        </w:tc>
        <w:tc>
          <w:tcPr>
            <w:tcW w:w="1069" w:type="dxa"/>
            <w:vAlign w:val="center"/>
          </w:tcPr>
          <w:p w14:paraId="720D8D75">
            <w:pPr>
              <w:pStyle w:val="7"/>
              <w:spacing w:before="307"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0"/>
                <w:sz w:val="28"/>
                <w:szCs w:val="28"/>
              </w:rPr>
              <w:t>单位</w:t>
            </w:r>
          </w:p>
        </w:tc>
        <w:tc>
          <w:tcPr>
            <w:tcW w:w="1237" w:type="dxa"/>
            <w:vAlign w:val="center"/>
          </w:tcPr>
          <w:p w14:paraId="3429646C">
            <w:pPr>
              <w:pStyle w:val="7"/>
              <w:spacing w:before="78" w:line="221"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1"/>
                <w:sz w:val="28"/>
                <w:szCs w:val="28"/>
              </w:rPr>
              <w:t>单价（元）</w:t>
            </w:r>
          </w:p>
        </w:tc>
        <w:tc>
          <w:tcPr>
            <w:tcW w:w="1223" w:type="dxa"/>
            <w:vAlign w:val="center"/>
          </w:tcPr>
          <w:p w14:paraId="5F59A7AD">
            <w:pPr>
              <w:pStyle w:val="7"/>
              <w:spacing w:before="78" w:line="223" w:lineRule="auto"/>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2"/>
                <w:sz w:val="28"/>
                <w:szCs w:val="28"/>
              </w:rPr>
              <w:t>供应周期</w:t>
            </w:r>
          </w:p>
        </w:tc>
        <w:tc>
          <w:tcPr>
            <w:tcW w:w="1228" w:type="dxa"/>
            <w:vAlign w:val="center"/>
          </w:tcPr>
          <w:p w14:paraId="0E8E0A1A">
            <w:pPr>
              <w:pStyle w:val="7"/>
              <w:spacing w:before="120" w:line="261" w:lineRule="auto"/>
              <w:ind w:left="268" w:right="128" w:hanging="122"/>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4"/>
                <w:sz w:val="28"/>
                <w:szCs w:val="28"/>
              </w:rPr>
              <w:t>质保期外</w:t>
            </w:r>
            <w:r>
              <w:rPr>
                <w:rFonts w:hint="eastAsia" w:ascii="方正仿宋_GBK" w:hAnsi="方正仿宋_GBK" w:eastAsia="方正仿宋_GBK" w:cs="方正仿宋_GBK"/>
                <w:color w:val="auto"/>
                <w:spacing w:val="-5"/>
                <w:sz w:val="28"/>
                <w:szCs w:val="28"/>
              </w:rPr>
              <w:t>工时费</w:t>
            </w:r>
          </w:p>
        </w:tc>
      </w:tr>
      <w:tr w14:paraId="38E40F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00FBAAD7">
            <w:pPr>
              <w:numPr>
                <w:ilvl w:val="0"/>
                <w:numId w:val="0"/>
              </w:numPr>
              <w:ind w:leftChars="0"/>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1</w:t>
            </w:r>
          </w:p>
        </w:tc>
        <w:tc>
          <w:tcPr>
            <w:tcW w:w="961" w:type="dxa"/>
            <w:shd w:val="clear" w:color="auto" w:fill="auto"/>
            <w:vAlign w:val="center"/>
          </w:tcPr>
          <w:p w14:paraId="724D2CF1">
            <w:pPr>
              <w:keepNext w:val="0"/>
              <w:keepLines w:val="0"/>
              <w:widowControl/>
              <w:suppressLineNumbers w:val="0"/>
              <w:jc w:val="center"/>
              <w:textAlignment w:val="center"/>
              <w:rPr>
                <w:rFonts w:hint="eastAsia" w:ascii="方正仿宋_GBK" w:hAnsi="方正仿宋_GBK" w:eastAsia="方正仿宋_GBK" w:cs="方正仿宋_GBK"/>
                <w:i w:val="0"/>
                <w:iCs w:val="0"/>
                <w:snapToGrid w:val="0"/>
                <w:color w:val="auto"/>
                <w:kern w:val="0"/>
                <w:sz w:val="28"/>
                <w:szCs w:val="28"/>
                <w:u w:val="none"/>
                <w:lang w:val="en-US" w:eastAsia="zh-CN" w:bidi="ar-SA"/>
              </w:rPr>
            </w:pPr>
          </w:p>
        </w:tc>
        <w:tc>
          <w:tcPr>
            <w:tcW w:w="1285" w:type="dxa"/>
            <w:vAlign w:val="center"/>
          </w:tcPr>
          <w:p w14:paraId="0F88BFF3">
            <w:pPr>
              <w:jc w:val="center"/>
              <w:rPr>
                <w:rFonts w:hint="default" w:ascii="方正仿宋_GBK" w:hAnsi="方正仿宋_GBK" w:eastAsia="方正仿宋_GBK" w:cs="方正仿宋_GBK"/>
                <w:color w:val="auto"/>
                <w:sz w:val="28"/>
                <w:szCs w:val="28"/>
                <w:lang w:val="en-US" w:eastAsia="zh-CN"/>
              </w:rPr>
            </w:pPr>
          </w:p>
        </w:tc>
        <w:tc>
          <w:tcPr>
            <w:tcW w:w="1394" w:type="dxa"/>
            <w:vAlign w:val="center"/>
          </w:tcPr>
          <w:p w14:paraId="22327422">
            <w:pPr>
              <w:jc w:val="center"/>
              <w:rPr>
                <w:rFonts w:hint="eastAsia" w:ascii="方正仿宋_GBK" w:hAnsi="方正仿宋_GBK" w:eastAsia="方正仿宋_GBK" w:cs="方正仿宋_GBK"/>
                <w:color w:val="auto"/>
                <w:sz w:val="28"/>
                <w:szCs w:val="28"/>
                <w:lang w:val="en-US" w:eastAsia="zh-CN"/>
              </w:rPr>
            </w:pPr>
          </w:p>
        </w:tc>
        <w:tc>
          <w:tcPr>
            <w:tcW w:w="1069" w:type="dxa"/>
            <w:vAlign w:val="center"/>
          </w:tcPr>
          <w:p w14:paraId="225E2402">
            <w:pPr>
              <w:jc w:val="center"/>
              <w:rPr>
                <w:rFonts w:hint="default" w:ascii="方正仿宋_GBK" w:hAnsi="方正仿宋_GBK" w:eastAsia="方正仿宋_GBK" w:cs="方正仿宋_GBK"/>
                <w:color w:val="auto"/>
                <w:sz w:val="28"/>
                <w:szCs w:val="28"/>
                <w:lang w:val="en-US" w:eastAsia="zh-CN"/>
              </w:rPr>
            </w:pPr>
          </w:p>
        </w:tc>
        <w:tc>
          <w:tcPr>
            <w:tcW w:w="1237" w:type="dxa"/>
            <w:vAlign w:val="center"/>
          </w:tcPr>
          <w:p w14:paraId="22AC5365">
            <w:pPr>
              <w:jc w:val="center"/>
              <w:rPr>
                <w:rFonts w:hint="default" w:ascii="方正仿宋_GBK" w:hAnsi="方正仿宋_GBK" w:eastAsia="方正仿宋_GBK" w:cs="方正仿宋_GBK"/>
                <w:color w:val="auto"/>
                <w:sz w:val="28"/>
                <w:szCs w:val="28"/>
                <w:lang w:val="en-US" w:eastAsia="zh-CN"/>
              </w:rPr>
            </w:pPr>
          </w:p>
        </w:tc>
        <w:tc>
          <w:tcPr>
            <w:tcW w:w="1223" w:type="dxa"/>
            <w:vAlign w:val="center"/>
          </w:tcPr>
          <w:p w14:paraId="2FBD8A36">
            <w:pPr>
              <w:jc w:val="center"/>
              <w:rPr>
                <w:rFonts w:hint="default" w:ascii="方正仿宋_GBK" w:hAnsi="方正仿宋_GBK" w:eastAsia="方正仿宋_GBK" w:cs="方正仿宋_GBK"/>
                <w:color w:val="auto"/>
                <w:sz w:val="28"/>
                <w:szCs w:val="28"/>
                <w:lang w:val="en-US" w:eastAsia="zh-CN"/>
              </w:rPr>
            </w:pPr>
          </w:p>
        </w:tc>
        <w:tc>
          <w:tcPr>
            <w:tcW w:w="1228" w:type="dxa"/>
            <w:vAlign w:val="center"/>
          </w:tcPr>
          <w:p w14:paraId="4ED2CAC3">
            <w:pPr>
              <w:jc w:val="center"/>
              <w:rPr>
                <w:rFonts w:hint="eastAsia" w:ascii="方正仿宋_GBK" w:hAnsi="方正仿宋_GBK" w:eastAsia="方正仿宋_GBK" w:cs="方正仿宋_GBK"/>
                <w:color w:val="auto"/>
                <w:sz w:val="28"/>
                <w:szCs w:val="28"/>
                <w:lang w:val="en-US" w:eastAsia="zh-CN"/>
              </w:rPr>
            </w:pPr>
          </w:p>
        </w:tc>
      </w:tr>
      <w:tr w14:paraId="42B94F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20257357">
            <w:pPr>
              <w:numPr>
                <w:ilvl w:val="0"/>
                <w:numId w:val="0"/>
              </w:numPr>
              <w:ind w:leftChars="0"/>
              <w:jc w:val="center"/>
              <w:rPr>
                <w:rFonts w:hint="default"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2</w:t>
            </w:r>
          </w:p>
        </w:tc>
        <w:tc>
          <w:tcPr>
            <w:tcW w:w="961" w:type="dxa"/>
            <w:shd w:val="clear" w:color="auto" w:fill="auto"/>
            <w:vAlign w:val="center"/>
          </w:tcPr>
          <w:p w14:paraId="34CFF209">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006A78A6">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6E7D20E5">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609C9A87">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532F8EF8">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8BEB173">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6D19E553">
            <w:pPr>
              <w:jc w:val="center"/>
              <w:rPr>
                <w:rFonts w:hint="eastAsia" w:ascii="方正仿宋_GBK" w:hAnsi="方正仿宋_GBK" w:eastAsia="方正仿宋_GBK" w:cs="方正仿宋_GBK"/>
                <w:color w:val="auto"/>
                <w:sz w:val="28"/>
                <w:szCs w:val="28"/>
                <w:lang w:val="en-US" w:eastAsia="zh-CN"/>
              </w:rPr>
            </w:pPr>
          </w:p>
        </w:tc>
      </w:tr>
      <w:tr w14:paraId="39B956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510" w:type="dxa"/>
            <w:vAlign w:val="center"/>
          </w:tcPr>
          <w:p w14:paraId="4DAA5E77">
            <w:pPr>
              <w:numPr>
                <w:ilvl w:val="0"/>
                <w:numId w:val="0"/>
              </w:numPr>
              <w:ind w:leftChars="0"/>
              <w:jc w:val="center"/>
              <w:rPr>
                <w:rFonts w:hint="eastAsia" w:ascii="方正仿宋_GBK" w:hAnsi="方正仿宋_GBK" w:eastAsia="方正仿宋_GBK" w:cs="方正仿宋_GBK"/>
                <w:color w:val="auto"/>
                <w:sz w:val="28"/>
                <w:szCs w:val="28"/>
                <w:lang w:val="en-US" w:eastAsia="zh-CN"/>
              </w:rPr>
            </w:pPr>
          </w:p>
        </w:tc>
        <w:tc>
          <w:tcPr>
            <w:tcW w:w="961" w:type="dxa"/>
            <w:shd w:val="clear" w:color="auto" w:fill="auto"/>
            <w:vAlign w:val="center"/>
          </w:tcPr>
          <w:p w14:paraId="705E3FA6">
            <w:pPr>
              <w:keepNext w:val="0"/>
              <w:keepLines w:val="0"/>
              <w:widowControl/>
              <w:suppressLineNumbers w:val="0"/>
              <w:jc w:val="center"/>
              <w:textAlignment w:val="center"/>
              <w:rPr>
                <w:rFonts w:hint="eastAsia" w:ascii="方正仿宋_GBK" w:hAnsi="方正仿宋_GBK" w:eastAsia="方正仿宋_GBK" w:cs="方正仿宋_GBK"/>
                <w:snapToGrid w:val="0"/>
                <w:color w:val="auto"/>
                <w:spacing w:val="-5"/>
                <w:kern w:val="0"/>
                <w:sz w:val="28"/>
                <w:szCs w:val="28"/>
                <w:lang w:val="en-US" w:eastAsia="en-US" w:bidi="ar-SA"/>
              </w:rPr>
            </w:pPr>
          </w:p>
        </w:tc>
        <w:tc>
          <w:tcPr>
            <w:tcW w:w="1285" w:type="dxa"/>
            <w:vAlign w:val="center"/>
          </w:tcPr>
          <w:p w14:paraId="76B2331F">
            <w:pPr>
              <w:jc w:val="center"/>
              <w:rPr>
                <w:rFonts w:hint="eastAsia" w:ascii="方正仿宋_GBK" w:hAnsi="方正仿宋_GBK" w:eastAsia="方正仿宋_GBK" w:cs="方正仿宋_GBK"/>
                <w:color w:val="auto"/>
                <w:sz w:val="28"/>
                <w:szCs w:val="28"/>
                <w:lang w:val="en-US" w:eastAsia="zh-CN"/>
              </w:rPr>
            </w:pPr>
          </w:p>
        </w:tc>
        <w:tc>
          <w:tcPr>
            <w:tcW w:w="1394" w:type="dxa"/>
            <w:vAlign w:val="center"/>
          </w:tcPr>
          <w:p w14:paraId="56F5FDDA">
            <w:pPr>
              <w:jc w:val="center"/>
              <w:rPr>
                <w:rFonts w:hint="eastAsia" w:ascii="方正仿宋_GBK" w:hAnsi="方正仿宋_GBK" w:eastAsia="方正仿宋_GBK" w:cs="方正仿宋_GBK"/>
                <w:snapToGrid w:val="0"/>
                <w:color w:val="auto"/>
                <w:spacing w:val="-2"/>
                <w:kern w:val="0"/>
                <w:sz w:val="28"/>
                <w:szCs w:val="28"/>
                <w:lang w:val="en-US" w:eastAsia="en-US" w:bidi="ar-SA"/>
              </w:rPr>
            </w:pPr>
          </w:p>
        </w:tc>
        <w:tc>
          <w:tcPr>
            <w:tcW w:w="1069" w:type="dxa"/>
            <w:vAlign w:val="center"/>
          </w:tcPr>
          <w:p w14:paraId="052C6083">
            <w:pPr>
              <w:jc w:val="center"/>
              <w:rPr>
                <w:rFonts w:hint="eastAsia" w:ascii="方正仿宋_GBK" w:hAnsi="方正仿宋_GBK" w:eastAsia="方正仿宋_GBK" w:cs="方正仿宋_GBK"/>
                <w:color w:val="auto"/>
                <w:sz w:val="28"/>
                <w:szCs w:val="28"/>
                <w:lang w:val="en-US" w:eastAsia="zh-CN"/>
              </w:rPr>
            </w:pPr>
          </w:p>
        </w:tc>
        <w:tc>
          <w:tcPr>
            <w:tcW w:w="1237" w:type="dxa"/>
            <w:vAlign w:val="center"/>
          </w:tcPr>
          <w:p w14:paraId="2776B386">
            <w:pPr>
              <w:jc w:val="center"/>
              <w:rPr>
                <w:rFonts w:hint="eastAsia" w:ascii="方正仿宋_GBK" w:hAnsi="方正仿宋_GBK" w:eastAsia="方正仿宋_GBK" w:cs="方正仿宋_GBK"/>
                <w:color w:val="auto"/>
                <w:sz w:val="28"/>
                <w:szCs w:val="28"/>
                <w:lang w:val="en-US" w:eastAsia="zh-CN"/>
              </w:rPr>
            </w:pPr>
          </w:p>
        </w:tc>
        <w:tc>
          <w:tcPr>
            <w:tcW w:w="1223" w:type="dxa"/>
            <w:vAlign w:val="center"/>
          </w:tcPr>
          <w:p w14:paraId="21926BA0">
            <w:pPr>
              <w:jc w:val="center"/>
              <w:rPr>
                <w:rFonts w:hint="eastAsia" w:ascii="方正仿宋_GBK" w:hAnsi="方正仿宋_GBK" w:eastAsia="方正仿宋_GBK" w:cs="方正仿宋_GBK"/>
                <w:color w:val="auto"/>
                <w:sz w:val="28"/>
                <w:szCs w:val="28"/>
                <w:lang w:val="en-US" w:eastAsia="zh-CN"/>
              </w:rPr>
            </w:pPr>
          </w:p>
        </w:tc>
        <w:tc>
          <w:tcPr>
            <w:tcW w:w="1228" w:type="dxa"/>
            <w:vAlign w:val="center"/>
          </w:tcPr>
          <w:p w14:paraId="2BE214B1">
            <w:pPr>
              <w:jc w:val="center"/>
              <w:rPr>
                <w:rFonts w:hint="eastAsia" w:ascii="方正仿宋_GBK" w:hAnsi="方正仿宋_GBK" w:eastAsia="方正仿宋_GBK" w:cs="方正仿宋_GBK"/>
                <w:color w:val="auto"/>
                <w:sz w:val="28"/>
                <w:szCs w:val="28"/>
                <w:lang w:val="en-US" w:eastAsia="zh-CN"/>
              </w:rPr>
            </w:pPr>
          </w:p>
        </w:tc>
      </w:tr>
      <w:tr w14:paraId="1C3265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6456" w:type="dxa"/>
            <w:gridSpan w:val="6"/>
            <w:vAlign w:val="center"/>
          </w:tcPr>
          <w:p w14:paraId="0AA48A29">
            <w:pPr>
              <w:pStyle w:val="7"/>
              <w:spacing w:before="240" w:line="221" w:lineRule="auto"/>
              <w:ind w:left="121"/>
              <w:jc w:val="center"/>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1"/>
                <w:sz w:val="28"/>
                <w:szCs w:val="28"/>
              </w:rPr>
              <w:t>服务标准：符合国家标准。</w:t>
            </w:r>
          </w:p>
        </w:tc>
        <w:tc>
          <w:tcPr>
            <w:tcW w:w="1223" w:type="dxa"/>
            <w:vAlign w:val="center"/>
          </w:tcPr>
          <w:p w14:paraId="29DB5187">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c>
          <w:tcPr>
            <w:tcW w:w="1228" w:type="dxa"/>
            <w:vAlign w:val="center"/>
          </w:tcPr>
          <w:p w14:paraId="50EDB24D">
            <w:pPr>
              <w:jc w:val="center"/>
              <w:rPr>
                <w:rFonts w:hint="eastAsia" w:ascii="方正仿宋_GBK" w:hAnsi="方正仿宋_GBK" w:eastAsia="方正仿宋_GBK" w:cs="方正仿宋_GBK"/>
                <w:color w:val="auto"/>
                <w:sz w:val="28"/>
                <w:szCs w:val="28"/>
                <w:lang w:val="en-US" w:eastAsia="zh-CN"/>
              </w:rPr>
            </w:pPr>
            <w:r>
              <w:rPr>
                <w:rFonts w:hint="eastAsia" w:ascii="方正仿宋_GBK" w:hAnsi="方正仿宋_GBK" w:eastAsia="方正仿宋_GBK" w:cs="方正仿宋_GBK"/>
                <w:color w:val="auto"/>
                <w:sz w:val="28"/>
                <w:szCs w:val="28"/>
                <w:lang w:val="en-US" w:eastAsia="zh-CN"/>
              </w:rPr>
              <w:t>/</w:t>
            </w:r>
          </w:p>
        </w:tc>
      </w:tr>
    </w:tbl>
    <w:p w14:paraId="5F06BDB6">
      <w:pPr>
        <w:rPr>
          <w:color w:val="auto"/>
        </w:rPr>
      </w:pPr>
    </w:p>
    <w:p w14:paraId="6D89002B">
      <w:pPr>
        <w:rPr>
          <w:color w:val="auto"/>
        </w:rPr>
      </w:pPr>
    </w:p>
    <w:p w14:paraId="51AD464E">
      <w:pPr>
        <w:rPr>
          <w:color w:val="auto"/>
        </w:rPr>
      </w:pPr>
    </w:p>
    <w:p w14:paraId="574E52E1">
      <w:pPr>
        <w:rPr>
          <w:color w:val="auto"/>
        </w:rPr>
      </w:pPr>
    </w:p>
    <w:p w14:paraId="36AA3663">
      <w:pPr>
        <w:rPr>
          <w:color w:val="auto"/>
        </w:rPr>
      </w:pPr>
    </w:p>
    <w:p w14:paraId="7419A1A1">
      <w:pPr>
        <w:rPr>
          <w:color w:val="auto"/>
        </w:rPr>
      </w:pPr>
    </w:p>
    <w:p w14:paraId="0718914A">
      <w:pPr>
        <w:rPr>
          <w:color w:val="auto"/>
        </w:rPr>
      </w:pPr>
    </w:p>
    <w:p w14:paraId="7AC33CB2">
      <w:pPr>
        <w:rPr>
          <w:color w:val="auto"/>
        </w:rPr>
      </w:pPr>
    </w:p>
    <w:p w14:paraId="02CDCA88">
      <w:pPr>
        <w:rPr>
          <w:color w:val="auto"/>
        </w:rPr>
      </w:pPr>
    </w:p>
    <w:p w14:paraId="77D753A9">
      <w:pPr>
        <w:rPr>
          <w:color w:val="auto"/>
        </w:rPr>
      </w:pPr>
    </w:p>
    <w:p w14:paraId="542C9610">
      <w:pPr>
        <w:rPr>
          <w:color w:val="auto"/>
        </w:rPr>
      </w:pPr>
    </w:p>
    <w:p w14:paraId="4A54C7A9">
      <w:pPr>
        <w:rPr>
          <w:color w:val="auto"/>
        </w:rPr>
      </w:pPr>
    </w:p>
    <w:p w14:paraId="4DF26528">
      <w:pPr>
        <w:rPr>
          <w:color w:val="auto"/>
        </w:rPr>
      </w:pPr>
    </w:p>
    <w:p w14:paraId="2CEFBC74">
      <w:pPr>
        <w:rPr>
          <w:color w:val="auto"/>
        </w:rPr>
      </w:pPr>
    </w:p>
    <w:p w14:paraId="6A409507">
      <w:pPr>
        <w:rPr>
          <w:color w:val="auto"/>
        </w:rPr>
      </w:pPr>
    </w:p>
    <w:p w14:paraId="431BD9B4">
      <w:pPr>
        <w:rPr>
          <w:color w:val="auto"/>
        </w:rPr>
      </w:pPr>
    </w:p>
    <w:p w14:paraId="552AAD6F">
      <w:pPr>
        <w:rPr>
          <w:color w:val="auto"/>
        </w:rPr>
      </w:pPr>
    </w:p>
    <w:p w14:paraId="33F548B4">
      <w:pPr>
        <w:rPr>
          <w:color w:val="auto"/>
        </w:rPr>
      </w:pPr>
    </w:p>
    <w:p w14:paraId="5A1FC2B2">
      <w:pPr>
        <w:rPr>
          <w:color w:val="auto"/>
        </w:rPr>
      </w:pPr>
    </w:p>
    <w:p w14:paraId="4DA9F748">
      <w:pPr>
        <w:rPr>
          <w:color w:val="auto"/>
        </w:rPr>
      </w:pPr>
    </w:p>
    <w:p w14:paraId="357A2E5A">
      <w:pPr>
        <w:rPr>
          <w:color w:val="auto"/>
        </w:rPr>
      </w:pPr>
    </w:p>
    <w:p w14:paraId="03489645">
      <w:pPr>
        <w:rPr>
          <w:color w:val="auto"/>
        </w:rPr>
      </w:pPr>
    </w:p>
    <w:p w14:paraId="02E8FCA9">
      <w:pPr>
        <w:spacing w:before="91" w:line="225" w:lineRule="auto"/>
        <w:ind w:left="25"/>
        <w:rPr>
          <w:rFonts w:ascii="黑体" w:hAnsi="黑体" w:eastAsia="黑体" w:cs="黑体"/>
          <w:color w:val="auto"/>
          <w:sz w:val="28"/>
          <w:szCs w:val="28"/>
        </w:rPr>
      </w:pPr>
      <w:r>
        <w:rPr>
          <w:rFonts w:ascii="黑体" w:hAnsi="黑体" w:eastAsia="黑体" w:cs="黑体"/>
          <w:color w:val="auto"/>
          <w:spacing w:val="-9"/>
          <w:sz w:val="28"/>
          <w:szCs w:val="28"/>
        </w:rPr>
        <w:t>附件</w:t>
      </w:r>
      <w:r>
        <w:rPr>
          <w:rFonts w:ascii="黑体" w:hAnsi="黑体" w:eastAsia="黑体" w:cs="黑体"/>
          <w:color w:val="auto"/>
          <w:spacing w:val="-53"/>
          <w:sz w:val="28"/>
          <w:szCs w:val="28"/>
        </w:rPr>
        <w:t xml:space="preserve"> </w:t>
      </w:r>
      <w:r>
        <w:rPr>
          <w:rFonts w:ascii="黑体" w:hAnsi="黑体" w:eastAsia="黑体" w:cs="黑体"/>
          <w:color w:val="auto"/>
          <w:spacing w:val="-9"/>
          <w:sz w:val="28"/>
          <w:szCs w:val="28"/>
        </w:rPr>
        <w:t>3：</w:t>
      </w:r>
    </w:p>
    <w:p w14:paraId="13C03A0D">
      <w:pPr>
        <w:spacing w:line="350" w:lineRule="auto"/>
        <w:rPr>
          <w:rFonts w:ascii="Arial"/>
          <w:color w:val="auto"/>
          <w:sz w:val="21"/>
        </w:rPr>
      </w:pPr>
    </w:p>
    <w:p w14:paraId="5476A5AE">
      <w:pPr>
        <w:spacing w:line="351" w:lineRule="auto"/>
        <w:rPr>
          <w:rFonts w:ascii="Arial"/>
          <w:color w:val="auto"/>
          <w:sz w:val="21"/>
        </w:rPr>
      </w:pPr>
    </w:p>
    <w:p w14:paraId="3CE73D2C">
      <w:pPr>
        <w:spacing w:before="101" w:line="227" w:lineRule="auto"/>
        <w:ind w:left="2142"/>
        <w:rPr>
          <w:rFonts w:hint="eastAsia" w:ascii="方正黑体_GBK" w:hAnsi="方正黑体_GBK" w:eastAsia="方正黑体_GBK" w:cs="方正黑体_GBK"/>
          <w:color w:val="auto"/>
          <w:sz w:val="32"/>
          <w:szCs w:val="32"/>
        </w:rPr>
      </w:pPr>
      <w:r>
        <w:rPr>
          <w:rFonts w:hint="eastAsia" w:ascii="方正黑体_GBK" w:hAnsi="方正黑体_GBK" w:eastAsia="方正黑体_GBK" w:cs="方正黑体_GBK"/>
          <w:b/>
          <w:bCs/>
          <w:color w:val="auto"/>
          <w:spacing w:val="8"/>
          <w:sz w:val="32"/>
          <w:szCs w:val="32"/>
        </w:rPr>
        <w:t>陕西省消防救援总队装备采购项目</w:t>
      </w:r>
    </w:p>
    <w:p w14:paraId="7B46B50D">
      <w:pPr>
        <w:spacing w:before="218" w:line="226" w:lineRule="auto"/>
        <w:ind w:left="3583"/>
        <w:rPr>
          <w:rFonts w:ascii="仿宋" w:hAnsi="仿宋" w:eastAsia="仿宋" w:cs="仿宋"/>
          <w:color w:val="auto"/>
          <w:sz w:val="32"/>
          <w:szCs w:val="32"/>
        </w:rPr>
      </w:pPr>
      <w:r>
        <w:rPr>
          <w:rFonts w:hint="eastAsia" w:ascii="方正黑体_GBK" w:hAnsi="方正黑体_GBK" w:eastAsia="方正黑体_GBK" w:cs="方正黑体_GBK"/>
          <w:b/>
          <w:bCs/>
          <w:color w:val="auto"/>
          <w:spacing w:val="6"/>
          <w:sz w:val="32"/>
          <w:szCs w:val="32"/>
        </w:rPr>
        <w:t>验收工作须知</w:t>
      </w:r>
    </w:p>
    <w:p w14:paraId="4A53569A">
      <w:pPr>
        <w:spacing w:line="337" w:lineRule="auto"/>
        <w:rPr>
          <w:rFonts w:ascii="Arial"/>
          <w:color w:val="auto"/>
          <w:sz w:val="21"/>
        </w:rPr>
      </w:pPr>
    </w:p>
    <w:p w14:paraId="252ABC2D">
      <w:pPr>
        <w:spacing w:line="338" w:lineRule="auto"/>
        <w:rPr>
          <w:rFonts w:ascii="Arial"/>
          <w:color w:val="auto"/>
          <w:sz w:val="21"/>
        </w:rPr>
      </w:pPr>
    </w:p>
    <w:p w14:paraId="4C4F4F4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z w:val="28"/>
          <w:szCs w:val="28"/>
        </w:rPr>
      </w:pPr>
      <w:r>
        <w:rPr>
          <w:rFonts w:hint="eastAsia" w:ascii="方正仿宋_GBK" w:hAnsi="方正仿宋_GBK" w:eastAsia="方正仿宋_GBK" w:cs="方正仿宋_GBK"/>
          <w:color w:val="auto"/>
          <w:spacing w:val="3"/>
          <w:sz w:val="28"/>
          <w:szCs w:val="28"/>
        </w:rPr>
        <w:t>装备验收是指依据国家或行业相关标准以及根据投标文件、采购</w:t>
      </w:r>
      <w:r>
        <w:rPr>
          <w:rFonts w:hint="eastAsia" w:ascii="方正仿宋_GBK" w:hAnsi="方正仿宋_GBK" w:eastAsia="方正仿宋_GBK" w:cs="方正仿宋_GBK"/>
          <w:color w:val="auto"/>
          <w:spacing w:val="2"/>
          <w:sz w:val="28"/>
          <w:szCs w:val="28"/>
        </w:rPr>
        <w:t>合同</w:t>
      </w:r>
      <w:r>
        <w:rPr>
          <w:rFonts w:hint="eastAsia" w:ascii="方正仿宋_GBK" w:hAnsi="方正仿宋_GBK" w:eastAsia="方正仿宋_GBK" w:cs="方正仿宋_GBK"/>
          <w:color w:val="auto"/>
          <w:spacing w:val="3"/>
          <w:sz w:val="28"/>
          <w:szCs w:val="28"/>
        </w:rPr>
        <w:t>等进行的装备数量、规格型号、检测报告或产品认证、质量性能的跟踪检查行为，是检验装备合格与否的必要过程，是装备列装消防救援队伍的最</w:t>
      </w:r>
      <w:r>
        <w:rPr>
          <w:rFonts w:hint="eastAsia" w:ascii="方正仿宋_GBK" w:hAnsi="方正仿宋_GBK" w:eastAsia="方正仿宋_GBK" w:cs="方正仿宋_GBK"/>
          <w:color w:val="auto"/>
          <w:sz w:val="28"/>
          <w:szCs w:val="28"/>
        </w:rPr>
        <w:t>终关</w:t>
      </w:r>
      <w:r>
        <w:rPr>
          <w:rFonts w:hint="eastAsia" w:ascii="方正仿宋_GBK" w:hAnsi="方正仿宋_GBK" w:eastAsia="方正仿宋_GBK" w:cs="方正仿宋_GBK"/>
          <w:color w:val="auto"/>
          <w:spacing w:val="-67"/>
          <w:sz w:val="28"/>
          <w:szCs w:val="28"/>
        </w:rPr>
        <w:t xml:space="preserve"> </w:t>
      </w:r>
      <w:r>
        <w:rPr>
          <w:rFonts w:hint="eastAsia" w:ascii="方正仿宋_GBK" w:hAnsi="方正仿宋_GBK" w:eastAsia="方正仿宋_GBK" w:cs="方正仿宋_GBK"/>
          <w:color w:val="auto"/>
          <w:sz w:val="28"/>
          <w:szCs w:val="28"/>
        </w:rPr>
        <w:t>口。装备验收坚持“科学客观、公平公正、公</w:t>
      </w:r>
      <w:r>
        <w:rPr>
          <w:rFonts w:hint="eastAsia" w:ascii="方正仿宋_GBK" w:hAnsi="方正仿宋_GBK" w:eastAsia="方正仿宋_GBK" w:cs="方正仿宋_GBK"/>
          <w:color w:val="auto"/>
          <w:spacing w:val="-1"/>
          <w:sz w:val="28"/>
          <w:szCs w:val="28"/>
        </w:rPr>
        <w:t>开透明</w:t>
      </w:r>
      <w:r>
        <w:rPr>
          <w:rFonts w:hint="eastAsia" w:ascii="方正仿宋_GBK" w:hAnsi="方正仿宋_GBK" w:eastAsia="方正仿宋_GBK" w:cs="方正仿宋_GBK"/>
          <w:color w:val="auto"/>
          <w:spacing w:val="-100"/>
          <w:sz w:val="28"/>
          <w:szCs w:val="28"/>
        </w:rPr>
        <w:t xml:space="preserve"> </w:t>
      </w:r>
      <w:r>
        <w:rPr>
          <w:rFonts w:hint="eastAsia" w:ascii="方正仿宋_GBK" w:hAnsi="方正仿宋_GBK" w:eastAsia="方正仿宋_GBK" w:cs="方正仿宋_GBK"/>
          <w:color w:val="auto"/>
          <w:spacing w:val="-1"/>
          <w:sz w:val="28"/>
          <w:szCs w:val="28"/>
        </w:rPr>
        <w:t>”的原则。以下</w:t>
      </w:r>
      <w:r>
        <w:rPr>
          <w:rFonts w:hint="eastAsia" w:ascii="方正仿宋_GBK" w:hAnsi="方正仿宋_GBK" w:eastAsia="方正仿宋_GBK" w:cs="方正仿宋_GBK"/>
          <w:color w:val="auto"/>
          <w:sz w:val="28"/>
          <w:szCs w:val="28"/>
        </w:rPr>
        <w:t>为具体须知内容：</w:t>
      </w:r>
    </w:p>
    <w:p w14:paraId="07BD8474">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z w:val="28"/>
          <w:szCs w:val="28"/>
        </w:rPr>
      </w:pPr>
      <w:r>
        <w:rPr>
          <w:rFonts w:hint="eastAsia" w:ascii="方正仿宋_GBK" w:hAnsi="方正仿宋_GBK" w:eastAsia="方正仿宋_GBK" w:cs="方正仿宋_GBK"/>
          <w:b/>
          <w:bCs/>
          <w:color w:val="auto"/>
          <w:spacing w:val="1"/>
          <w:sz w:val="28"/>
          <w:szCs w:val="28"/>
        </w:rPr>
        <w:t>一、装备验收标准</w:t>
      </w:r>
    </w:p>
    <w:p w14:paraId="49B8C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装备验收包括一致性验收和质量性能验收。</w:t>
      </w:r>
    </w:p>
    <w:p w14:paraId="205F3AF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（一）装备一致性验收应符合以下标准：</w:t>
      </w:r>
    </w:p>
    <w:p w14:paraId="2958452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1.同国家、行业标准等相关市场准入要求一致；</w:t>
      </w:r>
    </w:p>
    <w:p w14:paraId="16B2C70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2.同投标文件、评标时提供样品一致；</w:t>
      </w:r>
    </w:p>
    <w:p w14:paraId="0C8249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3.供应商履约情况与合同约定一致。</w:t>
      </w:r>
    </w:p>
    <w:p w14:paraId="6EF6DBC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（二）装备质量性能验收应符合以下标准：</w:t>
      </w:r>
    </w:p>
    <w:p w14:paraId="6DC3731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1.符合国家标准和行业标准质量要求；</w:t>
      </w:r>
    </w:p>
    <w:p w14:paraId="40C07F9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2.具备供应商投标文件所描述的性能参数；</w:t>
      </w:r>
    </w:p>
    <w:p w14:paraId="36E6FCD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3.提供的检测报告、规格说明书（中文）与投标文件和实物相符；</w:t>
      </w:r>
    </w:p>
    <w:p w14:paraId="0831202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4.相关组成部件齐全，无明显缺陷，装配符合要求；</w:t>
      </w:r>
    </w:p>
    <w:p w14:paraId="5D729E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5.安装调试后装备运行正常、操作性能稳定、性能指标达标。</w:t>
      </w:r>
    </w:p>
    <w:p w14:paraId="12F21F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受验装备不符合装备验收一致性和质量性能任意一条标准的均判定为验收“不合格”。</w:t>
      </w:r>
    </w:p>
    <w:p w14:paraId="1C28B141">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二、装备验收内容</w:t>
      </w:r>
    </w:p>
    <w:p w14:paraId="7548E60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（一）消防车辆验收采取“逐车逐验”的方式进行，每辆车对一份《新 购消防车辆验收报告》，具体核查下列资料：</w:t>
      </w:r>
    </w:p>
    <w:p w14:paraId="29927A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1.招标文件要求提供的国家认可的自愿性认证证书、检测报告及其复印件；</w:t>
      </w:r>
    </w:p>
    <w:p w14:paraId="3CE4AE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2.工信部公告复印件，底盘生产合格证、整车出厂检验合格证及其复印件；</w:t>
      </w:r>
    </w:p>
    <w:p w14:paraId="2815C1D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3.进口车辆或部件报关单；</w:t>
      </w:r>
    </w:p>
    <w:p w14:paraId="0CAD7F2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4.底盘驾驶员操作手册、上装操作手册及视频资料；</w:t>
      </w:r>
    </w:p>
    <w:p w14:paraId="0945015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5.底盘维修手册、保养保修手册和零件目录图册；</w:t>
      </w:r>
    </w:p>
    <w:p w14:paraId="70B0507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6.上装维修手册、保养保修手册及云梯、水泵结构图，水（管）路、液压、电路配线系统图；</w:t>
      </w:r>
    </w:p>
    <w:p w14:paraId="131F19C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7.附属外购设备和随车器材的合格证、使用说明书、保养维修手册；</w:t>
      </w:r>
    </w:p>
    <w:p w14:paraId="7EF5118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8.发动机、车辆识别码拓印件（两份），45度角车辆照片，购车发票（一式四联）；</w:t>
      </w:r>
    </w:p>
    <w:p w14:paraId="121A153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9.泵浦类消防车应出具水力性能测试报告；</w:t>
      </w:r>
    </w:p>
    <w:p w14:paraId="075F923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10.到货验收清单；</w:t>
      </w:r>
    </w:p>
    <w:p w14:paraId="4E78D64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11.其他应当提供的资料。</w:t>
      </w:r>
    </w:p>
    <w:p w14:paraId="20708D6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（二）消防车辆一致性与质量性能验收内容包括：</w:t>
      </w:r>
    </w:p>
    <w:p w14:paraId="134BB2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527D8C3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（1）车辆资料是否符合国家和行业标准；</w:t>
      </w:r>
    </w:p>
    <w:p w14:paraId="1B65C26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（2）产品型号、规格是否与铭牌、检验报告一致；</w:t>
      </w:r>
    </w:p>
    <w:p w14:paraId="700F319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（3）车辆的各功能部件（包括：水、电、气、液压等相关系统以及其他附属设备的品牌、型号、数量等）是否满足投标文件内容。</w:t>
      </w:r>
    </w:p>
    <w:p w14:paraId="1A3DFE9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271B799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油漆颜色及光亮度，外表平整度，车门及卷帘门密封情况，车上各主要部件铭牌标牌、警示标识和重要设备操作流程图以及是否满足《消防救援局关于做好消防救援车辆外观制式涂装工作的通知》要求。</w:t>
      </w:r>
    </w:p>
    <w:p w14:paraId="0967108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运行情况检查：包括底盘、泵、炮、取力器、臂架、压缩空气泡沫系统、起吊设备、牵引设备等主要部件，固定升降照明灯、固定排烟设备、警灯、警报、车灯、空调、照明、发电机、消防梯等附属设备，随车器材的性能，车门、卷帘门、器材箱、翻板、踏板及其他部件是否与投标文件一致，运行、使用情况是否良好。</w:t>
      </w:r>
    </w:p>
    <w:p w14:paraId="6021883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（3）整车性能验收：包括车辆运转、行驶性能，车辆车灯、空调、照 明等电气电路系统，车辆取力器开闭及其他性能。</w:t>
      </w:r>
    </w:p>
    <w:p w14:paraId="3D4F2D5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4）消防性能验收：包括消防泵吸水、出水、高层供液性能、消防炮射水性能，压缩空气泡沫系统、固定升降照明灯、固定排烟设备、起吊设备、牵引绞盘、液压系统等设备性能，随车器材性能，举高车上下车互锁、超载报警、应急回收、臂架和工作斗避碰、臂架运行平稳性、液压锁、安全操作标识等安全防护系统，其他性能。</w:t>
      </w:r>
    </w:p>
    <w:p w14:paraId="1A3508D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（三）除车辆以外单价在100万元以上的装备器材采取“逐装逐验”方式进行，每件装备器材对应一份《新购消防器材验收报告》，其余装备器材采取抽验方式进行，核查下列资料：</w:t>
      </w:r>
    </w:p>
    <w:p w14:paraId="08638AF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1.招标文件要求提供的相应的认证证书及其复印件；</w:t>
      </w:r>
    </w:p>
    <w:p w14:paraId="15BCEF5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2.生产合格证、检验报告及其复印件；</w:t>
      </w:r>
    </w:p>
    <w:p w14:paraId="1E2E2C15">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3.进口装备器材报关单；</w:t>
      </w:r>
    </w:p>
    <w:p w14:paraId="4675450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4.操作手册及视频资料；</w:t>
      </w:r>
    </w:p>
    <w:p w14:paraId="737DE74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5.装备器材的使用中文说明书、保养维修手册；</w:t>
      </w:r>
    </w:p>
    <w:p w14:paraId="7D50356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6.双方签字版到货清单；</w:t>
      </w:r>
    </w:p>
    <w:p w14:paraId="6643A08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7.其他应当提供的资料。</w:t>
      </w:r>
    </w:p>
    <w:p w14:paraId="7461BE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（四）除车辆以外的装备器材的一致性验收与质量性能验收包括：</w:t>
      </w:r>
    </w:p>
    <w:p w14:paraId="175627B0">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1.一致性验收</w:t>
      </w:r>
    </w:p>
    <w:p w14:paraId="7C123FF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（1）装备器材资料（检测报告、规格说明书、生产合格证等）是否符合国家和行业规定；</w:t>
      </w:r>
    </w:p>
    <w:p w14:paraId="1863F7E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（2）装备器材是否与投标文件内容和样品实物信息一致，包括各功能部件、相关系统及附属设备的品牌、型号、数量等；</w:t>
      </w:r>
    </w:p>
    <w:p w14:paraId="3D1F354C">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（3）同投标时样品比对，优于样品或与样品一致均符合。</w:t>
      </w:r>
    </w:p>
    <w:p w14:paraId="72289A78">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2.质量性能验收</w:t>
      </w:r>
    </w:p>
    <w:p w14:paraId="18CD5193">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（1）外观检查：包括装备器材外观、颜色及光亮度，铭牌标识及满足国家和行业标准，是否与投标文件等资料一致。</w:t>
      </w:r>
    </w:p>
    <w:p w14:paraId="671D411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（2）部件检查：包括检查各组成部件是否齐全，有无明显缺陷，装配是否符合要求等。</w:t>
      </w:r>
    </w:p>
    <w:p w14:paraId="7398B49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（3）性能验收：安装调试后运行是否正常、操作是否稳定、有无安全隐患、性能指标是否达到投标文件的响应等。</w:t>
      </w:r>
    </w:p>
    <w:p w14:paraId="4C273BEC">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三、装备验收程序</w:t>
      </w:r>
    </w:p>
    <w:p w14:paraId="47539FA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验收采取“初验与复验结合、集中检验和强制送检结合、厂商自检和用户检验结合”的方式进行，装备初次验收“不合格”，适情安排复验，每次验收均应按照一致性验收和质量性能验收两部分开展。按照合同文本、补充协议、采购文件、投标文件、规范标准等内容和要求，参照以下程序组织验收：</w:t>
      </w:r>
    </w:p>
    <w:p w14:paraId="11D284FA">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（一）验收准备</w:t>
      </w:r>
    </w:p>
    <w:p w14:paraId="2BBDC64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1.总队接到供应商预交货通知后，要求供应商提前做好装备的清理、调整、测试等自验工作，并告知验收地点和时间。供应商向总队递交《新购消防器材验收申请表》或《新购消防车辆验收申请表》。</w:t>
      </w:r>
    </w:p>
    <w:p w14:paraId="5E467C89">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2.总队收到验收申请后，制定验收方案，明确验收的主体、时间、方式、程序、内容和验收标准等事项。</w:t>
      </w:r>
    </w:p>
    <w:p w14:paraId="36AF8732">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（二）现场验收</w:t>
      </w:r>
    </w:p>
    <w:p w14:paraId="0829BF1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1.总队和供应商召开采购项目验收会，通报项目基本情况，合同执行情况和交付运行情况，听取供应商自评验收意见，明确验收人员职责分工；按照合同约定同供应商明确可能因装备质量问题或人员操作不当造成安全事故或经济损失的相关责任；验收人员做好安全防护，在供应商的管理和指导下开展装备操作。</w:t>
      </w:r>
    </w:p>
    <w:p w14:paraId="55BC967D">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2.实施一致性和质量性能验收时，按照本文第一、二条执行。一致性验收合格的装备，进入质量性能验收环节。资料不齐全不予验收。</w:t>
      </w:r>
    </w:p>
    <w:p w14:paraId="0D25F75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华文仿宋" w:hAnsi="华文仿宋" w:eastAsia="华文仿宋" w:cs="华文仿宋"/>
          <w:color w:val="auto"/>
          <w:sz w:val="28"/>
          <w:szCs w:val="28"/>
        </w:rPr>
      </w:pPr>
      <w:r>
        <w:rPr>
          <w:rFonts w:hint="eastAsia" w:ascii="方正仿宋_GBK" w:hAnsi="方正仿宋_GBK" w:eastAsia="方正仿宋_GBK" w:cs="方正仿宋_GBK"/>
          <w:color w:val="auto"/>
          <w:spacing w:val="3"/>
          <w:sz w:val="28"/>
          <w:szCs w:val="28"/>
        </w:rPr>
        <w:t>3.每个标段验收活动结束后，验收组汇总验收意见，对现场评定为不合格的装备，向供应商反馈问题或原因，提出整改意见或建议。</w:t>
      </w:r>
    </w:p>
    <w:p w14:paraId="37C40BA1">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4.装备验收过程中，可根据甲方需求开展抽样送具有法定检验资质的检测机构进行检测，检测结论作为验收结论使用。</w:t>
      </w:r>
    </w:p>
    <w:p w14:paraId="745C796B">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（三）验收报告编制</w:t>
      </w:r>
    </w:p>
    <w:p w14:paraId="0682348F">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验收合格的标段，总队向供应商移交验收报告；验收不合格的标段，向供应商出具验收报告和《消防装备验收限期整改通知书》，明确整改要求和时限，并适时组织复验工作。复验按照初验程序实施，如装备复验仍判定“不合格”，总队将根据合同约定，追究供应商相关责任。</w:t>
      </w:r>
    </w:p>
    <w:p w14:paraId="0A520E74">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（四）退还履约保证金</w:t>
      </w:r>
    </w:p>
    <w:p w14:paraId="11F6D886">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eastAsia" w:ascii="方正仿宋_GBK" w:hAnsi="方正仿宋_GBK" w:eastAsia="方正仿宋_GBK" w:cs="方正仿宋_GBK"/>
          <w:color w:val="auto"/>
          <w:spacing w:val="3"/>
          <w:sz w:val="28"/>
          <w:szCs w:val="28"/>
        </w:rPr>
      </w:pPr>
      <w:r>
        <w:rPr>
          <w:rFonts w:hint="eastAsia" w:ascii="方正仿宋_GBK" w:hAnsi="方正仿宋_GBK" w:eastAsia="方正仿宋_GBK" w:cs="方正仿宋_GBK"/>
          <w:color w:val="auto"/>
          <w:spacing w:val="3"/>
          <w:sz w:val="28"/>
          <w:szCs w:val="28"/>
        </w:rPr>
        <w:t>装备履约保证期满后，供应商提出履约保证金退还申请，填写《消防装备履约保证金退还申请表》，装备使用单位出具《消防装备质量核验报告》，按规定退还履约保证金。</w:t>
      </w:r>
    </w:p>
    <w:p w14:paraId="564739D0">
      <w:pPr>
        <w:keepNext w:val="0"/>
        <w:keepLines w:val="0"/>
        <w:pageBreakBefore w:val="0"/>
        <w:widowControl/>
        <w:kinsoku w:val="0"/>
        <w:wordWrap/>
        <w:overflowPunct/>
        <w:topLinePunct w:val="0"/>
        <w:autoSpaceDE w:val="0"/>
        <w:autoSpaceDN w:val="0"/>
        <w:bidi w:val="0"/>
        <w:adjustRightInd/>
        <w:snapToGrid/>
        <w:spacing w:line="360" w:lineRule="auto"/>
        <w:ind w:left="0" w:right="0" w:firstLine="566" w:firstLineChars="200"/>
        <w:textAlignment w:val="baseline"/>
        <w:rPr>
          <w:rFonts w:hint="eastAsia" w:ascii="方正仿宋_GBK" w:hAnsi="方正仿宋_GBK" w:eastAsia="方正仿宋_GBK" w:cs="方正仿宋_GBK"/>
          <w:b/>
          <w:bCs/>
          <w:color w:val="auto"/>
          <w:spacing w:val="1"/>
          <w:sz w:val="28"/>
          <w:szCs w:val="28"/>
        </w:rPr>
      </w:pPr>
      <w:r>
        <w:rPr>
          <w:rFonts w:hint="eastAsia" w:ascii="方正仿宋_GBK" w:hAnsi="方正仿宋_GBK" w:eastAsia="方正仿宋_GBK" w:cs="方正仿宋_GBK"/>
          <w:b/>
          <w:bCs/>
          <w:color w:val="auto"/>
          <w:spacing w:val="1"/>
          <w:sz w:val="28"/>
          <w:szCs w:val="28"/>
        </w:rPr>
        <w:t>四、其他</w:t>
      </w:r>
    </w:p>
    <w:p w14:paraId="3E38B67E">
      <w:pPr>
        <w:keepNext w:val="0"/>
        <w:keepLines w:val="0"/>
        <w:pageBreakBefore w:val="0"/>
        <w:widowControl/>
        <w:kinsoku w:val="0"/>
        <w:wordWrap/>
        <w:overflowPunct/>
        <w:topLinePunct w:val="0"/>
        <w:autoSpaceDE w:val="0"/>
        <w:autoSpaceDN w:val="0"/>
        <w:bidi w:val="0"/>
        <w:adjustRightInd/>
        <w:snapToGrid/>
        <w:spacing w:line="360" w:lineRule="auto"/>
        <w:ind w:left="0" w:right="0" w:firstLine="572" w:firstLineChars="200"/>
        <w:jc w:val="both"/>
        <w:textAlignment w:val="baseline"/>
        <w:rPr>
          <w:rFonts w:hint="default" w:ascii="方正仿宋_GBK" w:hAnsi="方正仿宋_GBK" w:eastAsia="方正仿宋_GBK" w:cs="方正仿宋_GBK"/>
          <w:color w:val="auto"/>
          <w:spacing w:val="3"/>
          <w:sz w:val="28"/>
          <w:szCs w:val="28"/>
          <w:lang w:val="en-US" w:eastAsia="zh-CN"/>
        </w:rPr>
      </w:pPr>
      <w:r>
        <w:rPr>
          <w:rFonts w:hint="eastAsia" w:ascii="方正仿宋_GBK" w:hAnsi="方正仿宋_GBK" w:eastAsia="方正仿宋_GBK" w:cs="方正仿宋_GBK"/>
          <w:color w:val="auto"/>
          <w:spacing w:val="3"/>
          <w:sz w:val="28"/>
          <w:szCs w:val="28"/>
        </w:rPr>
        <w:t>装备验收工作完成后，总队针对项目开展结算审计工作，审计结果将通报供货商，同时按照甲乙双方合同约定的付款条件办理尾款结算；初验“不合格”装备，总队视情适情安排复验，下达《消防装备验收限期整改通知书》，供货商整改超过限定期限的天数将计入供货逾期时间；验收过程中，供货商项目负责人及装备技术人员须到场参与验收。</w:t>
      </w:r>
    </w:p>
    <w:p w14:paraId="0D382D84">
      <w:pPr>
        <w:rPr>
          <w:color w:val="auto"/>
        </w:rPr>
      </w:pPr>
    </w:p>
    <w:p w14:paraId="11F47C47">
      <w:pPr>
        <w:rPr>
          <w:color w:val="auto"/>
        </w:rPr>
      </w:pPr>
    </w:p>
    <w:sectPr>
      <w:pgSz w:w="11906" w:h="16838"/>
      <w:pgMar w:top="1213" w:right="1236" w:bottom="1213" w:left="1236"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CEE3993-157D-4BC3-A2DD-3CBD0B3DDFAE}"/>
  </w:font>
  <w:font w:name="黑体">
    <w:panose1 w:val="02010609060101010101"/>
    <w:charset w:val="86"/>
    <w:family w:val="auto"/>
    <w:pitch w:val="default"/>
    <w:sig w:usb0="800002BF" w:usb1="38CF7CFA" w:usb2="00000016" w:usb3="00000000" w:csb0="00040001" w:csb1="00000000"/>
    <w:embedRegular r:id="rId2" w:fontKey="{9B144DA5-0920-47E8-9017-8AA6DE77E27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3" w:fontKey="{40751783-AF63-47E2-A61C-287580E5B5D5}"/>
  </w:font>
  <w:font w:name="Microsoft JhengHei UI">
    <w:panose1 w:val="020B0604030504040204"/>
    <w:charset w:val="88"/>
    <w:family w:val="swiss"/>
    <w:pitch w:val="default"/>
    <w:sig w:usb0="000002A7" w:usb1="28CF4400" w:usb2="00000016" w:usb3="00000000" w:csb0="00100009" w:csb1="00000000"/>
  </w:font>
  <w:font w:name="华文仿宋">
    <w:panose1 w:val="02010600040101010101"/>
    <w:charset w:val="86"/>
    <w:family w:val="auto"/>
    <w:pitch w:val="default"/>
    <w:sig w:usb0="00000287" w:usb1="080F0000" w:usb2="00000000" w:usb3="00000000" w:csb0="0004009F" w:csb1="DFD70000"/>
    <w:embedRegular r:id="rId4" w:fontKey="{8CCDA07F-B623-445D-AAF2-5F90D82D3EC9}"/>
  </w:font>
  <w:font w:name="仿宋">
    <w:panose1 w:val="02010609060101010101"/>
    <w:charset w:val="86"/>
    <w:family w:val="auto"/>
    <w:pitch w:val="default"/>
    <w:sig w:usb0="800002BF" w:usb1="38CF7CFA" w:usb2="00000016" w:usb3="00000000" w:csb0="00040001" w:csb1="00000000"/>
    <w:embedRegular r:id="rId5" w:fontKey="{5EC2707D-7EC2-470E-AB54-96B546B8AF1A}"/>
  </w:font>
  <w:font w:name="方正仿宋_GBK">
    <w:panose1 w:val="03000509000000000000"/>
    <w:charset w:val="86"/>
    <w:family w:val="auto"/>
    <w:pitch w:val="default"/>
    <w:sig w:usb0="00000001" w:usb1="080E0000" w:usb2="00000000" w:usb3="00000000" w:csb0="00040000" w:csb1="00000000"/>
    <w:embedRegular r:id="rId6" w:fontKey="{0D4E117D-47B6-45C6-AA14-27DB0ABDF2BE}"/>
  </w:font>
  <w:font w:name="方正仿宋_GB2312">
    <w:panose1 w:val="02000000000000000000"/>
    <w:charset w:val="86"/>
    <w:family w:val="auto"/>
    <w:pitch w:val="default"/>
    <w:sig w:usb0="A00002BF" w:usb1="184F6CFA" w:usb2="00000012" w:usb3="00000000" w:csb0="00040001" w:csb1="00000000"/>
    <w:embedRegular r:id="rId7" w:fontKey="{AAACFA1D-9FA1-45B0-BB0E-BEDCF93AFAEC}"/>
  </w:font>
  <w:font w:name="方正小标宋_GBK">
    <w:panose1 w:val="03000509000000000000"/>
    <w:charset w:val="86"/>
    <w:family w:val="auto"/>
    <w:pitch w:val="default"/>
    <w:sig w:usb0="00000001" w:usb1="080E0000" w:usb2="00000000" w:usb3="00000000" w:csb0="00040000" w:csb1="00000000"/>
    <w:embedRegular r:id="rId8" w:fontKey="{F163D665-49A3-41E9-B88B-97ECF0C9F38A}"/>
  </w:font>
  <w:font w:name="方正黑体_GBK">
    <w:panose1 w:val="03000509000000000000"/>
    <w:charset w:val="86"/>
    <w:family w:val="script"/>
    <w:pitch w:val="default"/>
    <w:sig w:usb0="00000001" w:usb1="080E0000" w:usb2="00000000" w:usb3="00000000" w:csb0="00040000" w:csb1="00000000"/>
    <w:embedRegular r:id="rId9" w:fontKey="{6DC3CD8E-347A-4B8F-8965-FD9ADCD2A0A3}"/>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0D615D"/>
    <w:multiLevelType w:val="singleLevel"/>
    <w:tmpl w:val="AE0D615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0MDgwZDkwMzNjYTAyNDVkMWFkOGFlNmY1NDAwOGYifQ=="/>
  </w:docVars>
  <w:rsids>
    <w:rsidRoot w:val="00000000"/>
    <w:rsid w:val="013B7B86"/>
    <w:rsid w:val="05A54683"/>
    <w:rsid w:val="0606770D"/>
    <w:rsid w:val="076B2738"/>
    <w:rsid w:val="117421EC"/>
    <w:rsid w:val="218C6865"/>
    <w:rsid w:val="2F561AA3"/>
    <w:rsid w:val="3A875311"/>
    <w:rsid w:val="3DD91F25"/>
    <w:rsid w:val="40D13907"/>
    <w:rsid w:val="4F05790C"/>
    <w:rsid w:val="5103255D"/>
    <w:rsid w:val="5C095479"/>
    <w:rsid w:val="67341693"/>
    <w:rsid w:val="69676DA1"/>
    <w:rsid w:val="6CA57C2D"/>
    <w:rsid w:val="6FD6290B"/>
    <w:rsid w:val="764741E2"/>
    <w:rsid w:val="7C740E04"/>
    <w:rsid w:val="7FEF2B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1"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6"/>
    <w:basedOn w:val="1"/>
    <w:next w:val="1"/>
    <w:qFormat/>
    <w:uiPriority w:val="1"/>
    <w:pPr>
      <w:ind w:left="1044"/>
      <w:outlineLvl w:val="6"/>
    </w:pPr>
    <w:rPr>
      <w:rFonts w:ascii="Microsoft JhengHei UI" w:hAnsi="Microsoft JhengHei UI" w:eastAsia="Microsoft JhengHei UI" w:cs="Microsoft JhengHei UI"/>
      <w:b/>
      <w:bCs/>
      <w:sz w:val="28"/>
      <w:szCs w:val="28"/>
      <w:lang w:val="zh-CN" w:eastAsia="zh-CN" w:bidi="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华文仿宋" w:hAnsi="华文仿宋" w:eastAsia="华文仿宋" w:cs="华文仿宋"/>
      <w:sz w:val="35"/>
      <w:szCs w:val="35"/>
      <w:lang w:val="en-US" w:eastAsia="en-US" w:bidi="ar-SA"/>
    </w:rPr>
  </w:style>
  <w:style w:type="paragraph" w:customStyle="1" w:styleId="6">
    <w:name w:val="Table Paragraph"/>
    <w:basedOn w:val="1"/>
    <w:qFormat/>
    <w:uiPriority w:val="1"/>
    <w:rPr>
      <w:rFonts w:ascii="仿宋" w:hAnsi="仿宋" w:eastAsia="仿宋" w:cs="仿宋"/>
      <w:lang w:val="zh-CN" w:eastAsia="zh-CN" w:bidi="zh-CN"/>
    </w:rPr>
  </w:style>
  <w:style w:type="paragraph" w:customStyle="1" w:styleId="7">
    <w:name w:val="Table Text"/>
    <w:basedOn w:val="1"/>
    <w:semiHidden/>
    <w:qFormat/>
    <w:uiPriority w:val="0"/>
    <w:rPr>
      <w:rFonts w:ascii="仿宋" w:hAnsi="仿宋" w:eastAsia="仿宋" w:cs="仿宋"/>
      <w:sz w:val="24"/>
      <w:szCs w:val="24"/>
      <w:lang w:val="en-US" w:eastAsia="en-US" w:bidi="ar-SA"/>
    </w:rPr>
  </w:style>
  <w:style w:type="table" w:customStyle="1" w:styleId="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3627</Words>
  <Characters>3718</Characters>
  <Lines>0</Lines>
  <Paragraphs>0</Paragraphs>
  <TotalTime>1</TotalTime>
  <ScaleCrop>false</ScaleCrop>
  <LinksUpToDate>false</LinksUpToDate>
  <CharactersWithSpaces>3910</CharactersWithSpaces>
  <Application>WPS Office_12.1.0.22089_F1E327BC-269C-435d-A152-05C5408002CA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2026-01-09T01:50:00Z</dcterms:created>
  <dc:creator>Administrator</dc:creator>
  <cp:lastModifiedBy>依诺livia</cp:lastModifiedBy>
  <dcterms:modified xsi:type="dcterms:W3CDTF">2026-04-08T09:54:13Z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ICV">
    <vt:lpwstr>702198E08114425685BD90FC2BA33646_13</vt:lpwstr>
  </property>
  <property fmtid="{D5CDD505-2E9C-101B-9397-08002B2CF9AE}" pid="4" name="KSOTemplateDocerSaveRecord">
    <vt:lpwstr>eyJoZGlkIjoiZDQ4NDRjMzFkYjk0NTVkMWYzZmE4NTI3OGUzOWRiYzgiLCJ1c2VySWQiOiIzNTMzMzU0NjEifQ==</vt:lpwstr>
  </property>
</Properties>
</file>