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版本号：SXLC2026-ZC-ZB00420260803002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镇安县2026年松材线虫病疫木除治项目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SXLC2026-ZC-ZB004</w:t>
      </w:r>
      <w:r>
        <w:br/>
      </w:r>
      <w:r>
        <w:br/>
      </w:r>
      <w:r>
        <w:br/>
      </w:r>
    </w:p>
    <w:p>
      <w:pPr>
        <w:pStyle w:val="null3"/>
        <w:jc w:val="center"/>
        <w:outlineLvl w:val="2"/>
      </w:pPr>
      <w:r>
        <w:rPr>
          <w:rFonts w:ascii="仿宋_GB2312" w:hAnsi="仿宋_GB2312" w:cs="仿宋_GB2312" w:eastAsia="仿宋_GB2312"/>
          <w:sz w:val="28"/>
          <w:b/>
        </w:rPr>
        <w:t>镇安县林业综合服务中心</w:t>
      </w:r>
    </w:p>
    <w:p>
      <w:pPr>
        <w:pStyle w:val="null3"/>
        <w:jc w:val="center"/>
        <w:outlineLvl w:val="2"/>
      </w:pPr>
      <w:r>
        <w:rPr>
          <w:rFonts w:ascii="仿宋_GB2312" w:hAnsi="仿宋_GB2312" w:cs="仿宋_GB2312" w:eastAsia="仿宋_GB2312"/>
          <w:sz w:val="28"/>
          <w:b/>
        </w:rPr>
        <w:t>陕西隆成工程项目管理有限公司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陕西隆成工程项目管理有限公司</w:t>
      </w:r>
      <w:r>
        <w:rPr>
          <w:rFonts w:ascii="仿宋_GB2312" w:hAnsi="仿宋_GB2312" w:cs="仿宋_GB2312" w:eastAsia="仿宋_GB2312"/>
        </w:rPr>
        <w:t>（以下简称“代理机构”）受</w:t>
      </w:r>
      <w:r>
        <w:rPr>
          <w:rFonts w:ascii="仿宋_GB2312" w:hAnsi="仿宋_GB2312" w:cs="仿宋_GB2312" w:eastAsia="仿宋_GB2312"/>
        </w:rPr>
        <w:t>镇安县林业综合服务中心</w:t>
      </w:r>
      <w:r>
        <w:rPr>
          <w:rFonts w:ascii="仿宋_GB2312" w:hAnsi="仿宋_GB2312" w:cs="仿宋_GB2312" w:eastAsia="仿宋_GB2312"/>
        </w:rPr>
        <w:t>委托，拟对</w:t>
      </w:r>
      <w:r>
        <w:rPr>
          <w:rFonts w:ascii="仿宋_GB2312" w:hAnsi="仿宋_GB2312" w:cs="仿宋_GB2312" w:eastAsia="仿宋_GB2312"/>
        </w:rPr>
        <w:t>镇安县2026年松材线虫病疫木除治项目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SXLC2026-ZC-ZB004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镇安县2026年松材线虫病疫木除治项目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全县松林开展疫情日常巡查和监测、松材线虫病枯死松树集中除治和即死即清处理。包括疫木砍伐、清理、销毁和伐蔸处理，合格率均达到100%，对全县松材线虫病疫木除治点周边松林和重点区域的松树开展人工喷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采购包1（永乐街道办、回龙镇 、铁厂镇、高峰镇、黑窑沟林场松材线虫病疫木除治）：属于专门面向中小企业采购。</w:t>
      </w:r>
    </w:p>
    <w:p>
      <w:pPr>
        <w:pStyle w:val="null3"/>
      </w:pPr>
      <w:r>
        <w:rPr>
          <w:rFonts w:ascii="仿宋_GB2312" w:hAnsi="仿宋_GB2312" w:cs="仿宋_GB2312" w:eastAsia="仿宋_GB2312"/>
        </w:rPr>
        <w:t>采购包2（大坪镇、米粮镇松材线虫病疫木除治）：属于专门面向中小企业采购。</w:t>
      </w:r>
    </w:p>
    <w:p>
      <w:pPr>
        <w:pStyle w:val="null3"/>
      </w:pPr>
      <w:r>
        <w:rPr>
          <w:rFonts w:ascii="仿宋_GB2312" w:hAnsi="仿宋_GB2312" w:cs="仿宋_GB2312" w:eastAsia="仿宋_GB2312"/>
        </w:rPr>
        <w:t>采购包3（西口回族镇松材线虫病疫木除治）：属于专门面向中小企业采购。</w:t>
      </w:r>
    </w:p>
    <w:p>
      <w:pPr>
        <w:pStyle w:val="null3"/>
      </w:pPr>
      <w:r>
        <w:rPr>
          <w:rFonts w:ascii="仿宋_GB2312" w:hAnsi="仿宋_GB2312" w:cs="仿宋_GB2312" w:eastAsia="仿宋_GB2312"/>
        </w:rPr>
        <w:t>采购包4（茅坪回族镇松材线虫病疫木除治）：属于专门面向中小企业采购。</w:t>
      </w:r>
    </w:p>
    <w:p>
      <w:pPr>
        <w:pStyle w:val="null3"/>
      </w:pPr>
      <w:r>
        <w:rPr>
          <w:rFonts w:ascii="仿宋_GB2312" w:hAnsi="仿宋_GB2312" w:cs="仿宋_GB2312" w:eastAsia="仿宋_GB2312"/>
        </w:rPr>
        <w:t>采购包5（青铜关镇、柴坪镇、云盖寺镇、庙沟镇松材线虫病疫木除治）：属于专门面向中小企业采购。</w:t>
      </w:r>
    </w:p>
    <w:p>
      <w:pPr>
        <w:pStyle w:val="null3"/>
      </w:pPr>
      <w:r>
        <w:rPr>
          <w:rFonts w:ascii="仿宋_GB2312" w:hAnsi="仿宋_GB2312" w:cs="仿宋_GB2312" w:eastAsia="仿宋_GB2312"/>
        </w:rPr>
        <w:t>采购包6（达仁镇、木王镇、木王林场松材线虫病疫木除治）：属于专门面向中小企业采购。</w:t>
      </w:r>
    </w:p>
    <w:p>
      <w:pPr>
        <w:pStyle w:val="null3"/>
      </w:pPr>
      <w:r>
        <w:rPr>
          <w:rFonts w:ascii="仿宋_GB2312" w:hAnsi="仿宋_GB2312" w:cs="仿宋_GB2312" w:eastAsia="仿宋_GB2312"/>
        </w:rPr>
        <w:t>采购包7（月河镇松材线虫病疫木除治）：属于专门面向中小企业采购。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合法有效：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p>
      <w:pPr>
        <w:pStyle w:val="null3"/>
      </w:pPr>
      <w:r>
        <w:rPr>
          <w:rFonts w:ascii="仿宋_GB2312" w:hAnsi="仿宋_GB2312" w:cs="仿宋_GB2312" w:eastAsia="仿宋_GB2312"/>
        </w:rPr>
        <w:t>2、税收缴纳记录：提供已缴纳近一年内任意三个月的纳税或完税证明（任意税种）扫描件，依法免税的应提供相关证明。纳税证明或完税证明上应有代收机构或税务机关的公章或业务专用章。（注：①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p>
      <w:pPr>
        <w:pStyle w:val="null3"/>
      </w:pPr>
      <w:r>
        <w:rPr>
          <w:rFonts w:ascii="仿宋_GB2312" w:hAnsi="仿宋_GB2312" w:cs="仿宋_GB2312" w:eastAsia="仿宋_GB2312"/>
        </w:rPr>
        <w:t>3、社会保障资⾦缴纳证明：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p>
      <w:pPr>
        <w:pStyle w:val="null3"/>
      </w:pPr>
      <w:r>
        <w:rPr>
          <w:rFonts w:ascii="仿宋_GB2312" w:hAnsi="仿宋_GB2312" w:cs="仿宋_GB2312" w:eastAsia="仿宋_GB2312"/>
        </w:rPr>
        <w:t>4、财务状况证明：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p>
      <w:pPr>
        <w:pStyle w:val="null3"/>
      </w:pPr>
      <w:r>
        <w:rPr>
          <w:rFonts w:ascii="仿宋_GB2312" w:hAnsi="仿宋_GB2312" w:cs="仿宋_GB2312" w:eastAsia="仿宋_GB2312"/>
        </w:rPr>
        <w:t>5、履约能力：供应商应具有履行合同所必需的设备和专业技术能力；供应商须在项⽬电⼦化交易系统中按要求提供证明资料并进⾏电⼦签章</w:t>
      </w:r>
    </w:p>
    <w:p>
      <w:pPr>
        <w:pStyle w:val="null3"/>
      </w:pPr>
      <w:r>
        <w:rPr>
          <w:rFonts w:ascii="仿宋_GB2312" w:hAnsi="仿宋_GB2312" w:cs="仿宋_GB2312" w:eastAsia="仿宋_GB2312"/>
        </w:rPr>
        <w:t>6、无重大违法记录：供应商在参加政府采购活动前3年内，在经营活动中没有重大违法记录；供应商须在项⽬电⼦化交易系统中按要求提供证明资料并进⾏电⼦签章</w:t>
      </w:r>
    </w:p>
    <w:p>
      <w:pPr>
        <w:pStyle w:val="null3"/>
      </w:pPr>
      <w:r>
        <w:rPr>
          <w:rFonts w:ascii="仿宋_GB2312" w:hAnsi="仿宋_GB2312" w:cs="仿宋_GB2312" w:eastAsia="仿宋_GB2312"/>
        </w:rPr>
        <w:t>7、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8、中⼩企业声明函：本项⽬专⻔⾯向中⼩企业采购，需提供中⼩企业声明；供应商须在项⽬电⼦化交易系统中按要求提供证明资料并进⾏电⼦签章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合法有效：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p>
      <w:pPr>
        <w:pStyle w:val="null3"/>
      </w:pPr>
      <w:r>
        <w:rPr>
          <w:rFonts w:ascii="仿宋_GB2312" w:hAnsi="仿宋_GB2312" w:cs="仿宋_GB2312" w:eastAsia="仿宋_GB2312"/>
        </w:rPr>
        <w:t>2、税收缴纳记录：提供已缴纳近一年内任意三个月的纳税或完税证明（任意税种）扫描件，依法免税的应提供相关证明。纳税证明或完税证明上应有代收机构或税务机关的公章或业务专用章。（注：①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p>
      <w:pPr>
        <w:pStyle w:val="null3"/>
      </w:pPr>
      <w:r>
        <w:rPr>
          <w:rFonts w:ascii="仿宋_GB2312" w:hAnsi="仿宋_GB2312" w:cs="仿宋_GB2312" w:eastAsia="仿宋_GB2312"/>
        </w:rPr>
        <w:t>3、社会保障资⾦缴纳证明：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p>
      <w:pPr>
        <w:pStyle w:val="null3"/>
      </w:pPr>
      <w:r>
        <w:rPr>
          <w:rFonts w:ascii="仿宋_GB2312" w:hAnsi="仿宋_GB2312" w:cs="仿宋_GB2312" w:eastAsia="仿宋_GB2312"/>
        </w:rPr>
        <w:t>4、财务状况证明：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p>
      <w:pPr>
        <w:pStyle w:val="null3"/>
      </w:pPr>
      <w:r>
        <w:rPr>
          <w:rFonts w:ascii="仿宋_GB2312" w:hAnsi="仿宋_GB2312" w:cs="仿宋_GB2312" w:eastAsia="仿宋_GB2312"/>
        </w:rPr>
        <w:t>5、履约能力：供应商应具有履行合同所必需的设备和专业技术能力；供应商须在项⽬电⼦化交易系统中按要求提供证明资料并进⾏电⼦签章</w:t>
      </w:r>
    </w:p>
    <w:p>
      <w:pPr>
        <w:pStyle w:val="null3"/>
      </w:pPr>
      <w:r>
        <w:rPr>
          <w:rFonts w:ascii="仿宋_GB2312" w:hAnsi="仿宋_GB2312" w:cs="仿宋_GB2312" w:eastAsia="仿宋_GB2312"/>
        </w:rPr>
        <w:t>6、无重大违法记录：供应商在参加政府采购活动前3年内，在经营活动中没有重大违法记录；供应商须在项⽬电⼦化交易系统中按要求提供证明资料并进⾏电⼦签章</w:t>
      </w:r>
    </w:p>
    <w:p>
      <w:pPr>
        <w:pStyle w:val="null3"/>
      </w:pPr>
      <w:r>
        <w:rPr>
          <w:rFonts w:ascii="仿宋_GB2312" w:hAnsi="仿宋_GB2312" w:cs="仿宋_GB2312" w:eastAsia="仿宋_GB2312"/>
        </w:rPr>
        <w:t>7、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8、中⼩企业声明函：本项⽬专⻔⾯向中⼩企业采购，需提供中⼩企业声明；供应商须在项⽬电⼦化交易系统中按要求提供证明资料并进⾏电⼦签章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合法有效：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p>
      <w:pPr>
        <w:pStyle w:val="null3"/>
      </w:pPr>
      <w:r>
        <w:rPr>
          <w:rFonts w:ascii="仿宋_GB2312" w:hAnsi="仿宋_GB2312" w:cs="仿宋_GB2312" w:eastAsia="仿宋_GB2312"/>
        </w:rPr>
        <w:t>2、税收缴纳记录：提供已缴纳近一年内任意三个月的纳税或完税证明（任意税种）扫描件，依法免税的应提供相关证明。纳税证明或完税证明上应有代收机构或税务机关的公章或业务专用章。（注：①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p>
      <w:pPr>
        <w:pStyle w:val="null3"/>
      </w:pPr>
      <w:r>
        <w:rPr>
          <w:rFonts w:ascii="仿宋_GB2312" w:hAnsi="仿宋_GB2312" w:cs="仿宋_GB2312" w:eastAsia="仿宋_GB2312"/>
        </w:rPr>
        <w:t>3、社会保障资⾦缴纳证明：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p>
      <w:pPr>
        <w:pStyle w:val="null3"/>
      </w:pPr>
      <w:r>
        <w:rPr>
          <w:rFonts w:ascii="仿宋_GB2312" w:hAnsi="仿宋_GB2312" w:cs="仿宋_GB2312" w:eastAsia="仿宋_GB2312"/>
        </w:rPr>
        <w:t>4、财务状况证明：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p>
      <w:pPr>
        <w:pStyle w:val="null3"/>
      </w:pPr>
      <w:r>
        <w:rPr>
          <w:rFonts w:ascii="仿宋_GB2312" w:hAnsi="仿宋_GB2312" w:cs="仿宋_GB2312" w:eastAsia="仿宋_GB2312"/>
        </w:rPr>
        <w:t>5、履约能力：供应商应具有履行合同所必需的设备和专业技术能力；供应商须在项⽬电⼦化交易系统中按要求提供证明资料并进⾏电⼦签章</w:t>
      </w:r>
    </w:p>
    <w:p>
      <w:pPr>
        <w:pStyle w:val="null3"/>
      </w:pPr>
      <w:r>
        <w:rPr>
          <w:rFonts w:ascii="仿宋_GB2312" w:hAnsi="仿宋_GB2312" w:cs="仿宋_GB2312" w:eastAsia="仿宋_GB2312"/>
        </w:rPr>
        <w:t>6、无重大违法记录：供应商在参加政府采购活动前3年内，在经营活动中没有重大违法记录；供应商须在项⽬电⼦化交易系统中按要求提供证明资料并进⾏电⼦签章</w:t>
      </w:r>
    </w:p>
    <w:p>
      <w:pPr>
        <w:pStyle w:val="null3"/>
      </w:pPr>
      <w:r>
        <w:rPr>
          <w:rFonts w:ascii="仿宋_GB2312" w:hAnsi="仿宋_GB2312" w:cs="仿宋_GB2312" w:eastAsia="仿宋_GB2312"/>
        </w:rPr>
        <w:t>7、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8、中⼩企业声明函：本项⽬专⻔⾯向中⼩企业采购，需提供中⼩企业声明；供应商须在项⽬电⼦化交易系统中按要求提供证明资料并进⾏电⼦签章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合法有效：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p>
      <w:pPr>
        <w:pStyle w:val="null3"/>
      </w:pPr>
      <w:r>
        <w:rPr>
          <w:rFonts w:ascii="仿宋_GB2312" w:hAnsi="仿宋_GB2312" w:cs="仿宋_GB2312" w:eastAsia="仿宋_GB2312"/>
        </w:rPr>
        <w:t>2、税收缴纳记录：提供已缴纳近一年内任意三个月的纳税或完税证明（任意税种）扫描件，依法免税的应提供相关证明。纳税证明或完税证明上应有代收机构或税务机关的公章或业务专用章。（注：①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p>
      <w:pPr>
        <w:pStyle w:val="null3"/>
      </w:pPr>
      <w:r>
        <w:rPr>
          <w:rFonts w:ascii="仿宋_GB2312" w:hAnsi="仿宋_GB2312" w:cs="仿宋_GB2312" w:eastAsia="仿宋_GB2312"/>
        </w:rPr>
        <w:t>3、社会保障资⾦缴纳证明：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p>
      <w:pPr>
        <w:pStyle w:val="null3"/>
      </w:pPr>
      <w:r>
        <w:rPr>
          <w:rFonts w:ascii="仿宋_GB2312" w:hAnsi="仿宋_GB2312" w:cs="仿宋_GB2312" w:eastAsia="仿宋_GB2312"/>
        </w:rPr>
        <w:t>4、财务状况证明：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p>
      <w:pPr>
        <w:pStyle w:val="null3"/>
      </w:pPr>
      <w:r>
        <w:rPr>
          <w:rFonts w:ascii="仿宋_GB2312" w:hAnsi="仿宋_GB2312" w:cs="仿宋_GB2312" w:eastAsia="仿宋_GB2312"/>
        </w:rPr>
        <w:t>5、履约能力：供应商应具有履行合同所必需的设备和专业技术能力；供应商须在项⽬电⼦化交易系统中按要求提供证明资料并进⾏电⼦签章</w:t>
      </w:r>
    </w:p>
    <w:p>
      <w:pPr>
        <w:pStyle w:val="null3"/>
      </w:pPr>
      <w:r>
        <w:rPr>
          <w:rFonts w:ascii="仿宋_GB2312" w:hAnsi="仿宋_GB2312" w:cs="仿宋_GB2312" w:eastAsia="仿宋_GB2312"/>
        </w:rPr>
        <w:t>6、无重大违法记录：供应商在参加政府采购活动前3年内，在经营活动中没有重大违法记录；供应商须在项⽬电⼦化交易系统中按要求提供证明资料并进⾏电⼦签章</w:t>
      </w:r>
    </w:p>
    <w:p>
      <w:pPr>
        <w:pStyle w:val="null3"/>
      </w:pPr>
      <w:r>
        <w:rPr>
          <w:rFonts w:ascii="仿宋_GB2312" w:hAnsi="仿宋_GB2312" w:cs="仿宋_GB2312" w:eastAsia="仿宋_GB2312"/>
        </w:rPr>
        <w:t>7、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8、中⼩企业声明函：本项⽬专⻔⾯向中⼩企业采购，需提供中⼩企业声明；供应商须在项⽬电⼦化交易系统中按要求提供证明资料并进⾏电⼦签章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合法有效：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p>
      <w:pPr>
        <w:pStyle w:val="null3"/>
      </w:pPr>
      <w:r>
        <w:rPr>
          <w:rFonts w:ascii="仿宋_GB2312" w:hAnsi="仿宋_GB2312" w:cs="仿宋_GB2312" w:eastAsia="仿宋_GB2312"/>
        </w:rPr>
        <w:t>2、税收缴纳记录：提供已缴纳近一年内任意三个月的纳税或完税证明（任意税种）扫描件，依法免税的应提供相关证明。纳税证明或完税证明上应有代收机构或税务机关的公章或业务专用章。（注：①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p>
      <w:pPr>
        <w:pStyle w:val="null3"/>
      </w:pPr>
      <w:r>
        <w:rPr>
          <w:rFonts w:ascii="仿宋_GB2312" w:hAnsi="仿宋_GB2312" w:cs="仿宋_GB2312" w:eastAsia="仿宋_GB2312"/>
        </w:rPr>
        <w:t>3、社会保障资⾦缴纳证明：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p>
      <w:pPr>
        <w:pStyle w:val="null3"/>
      </w:pPr>
      <w:r>
        <w:rPr>
          <w:rFonts w:ascii="仿宋_GB2312" w:hAnsi="仿宋_GB2312" w:cs="仿宋_GB2312" w:eastAsia="仿宋_GB2312"/>
        </w:rPr>
        <w:t>4、财务状况证明：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p>
      <w:pPr>
        <w:pStyle w:val="null3"/>
      </w:pPr>
      <w:r>
        <w:rPr>
          <w:rFonts w:ascii="仿宋_GB2312" w:hAnsi="仿宋_GB2312" w:cs="仿宋_GB2312" w:eastAsia="仿宋_GB2312"/>
        </w:rPr>
        <w:t>5、履约能力：供应商应具有履行合同所必需的设备和专业技术能力；供应商须在项⽬电⼦化交易系统中按要求提供证明资料并进⾏电⼦签章</w:t>
      </w:r>
    </w:p>
    <w:p>
      <w:pPr>
        <w:pStyle w:val="null3"/>
      </w:pPr>
      <w:r>
        <w:rPr>
          <w:rFonts w:ascii="仿宋_GB2312" w:hAnsi="仿宋_GB2312" w:cs="仿宋_GB2312" w:eastAsia="仿宋_GB2312"/>
        </w:rPr>
        <w:t>6、无重大违法记录：供应商在参加政府采购活动前3年内，在经营活动中没有重大违法记录；供应商须在项⽬电⼦化交易系统中按要求提供证明资料并进⾏电⼦签章</w:t>
      </w:r>
    </w:p>
    <w:p>
      <w:pPr>
        <w:pStyle w:val="null3"/>
      </w:pPr>
      <w:r>
        <w:rPr>
          <w:rFonts w:ascii="仿宋_GB2312" w:hAnsi="仿宋_GB2312" w:cs="仿宋_GB2312" w:eastAsia="仿宋_GB2312"/>
        </w:rPr>
        <w:t>7、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8、中⼩企业声明函：本项⽬专⻔⾯向中⼩企业采购，需提供中⼩企业声明；供应商须在项⽬电⼦化交易系统中按要求提供证明资料并进⾏电⼦签章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等主体资格证明合法有效：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p>
      <w:pPr>
        <w:pStyle w:val="null3"/>
      </w:pPr>
      <w:r>
        <w:rPr>
          <w:rFonts w:ascii="仿宋_GB2312" w:hAnsi="仿宋_GB2312" w:cs="仿宋_GB2312" w:eastAsia="仿宋_GB2312"/>
        </w:rPr>
        <w:t>2、税收缴纳记录：提供已缴纳近一年内任意三个月的纳税或完税证明（任意税种）扫描件，依法免税的应提供相关证明。纳税证明或完税证明上应有代收机构或税务机关的公章或业务专用章。（注：①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p>
      <w:pPr>
        <w:pStyle w:val="null3"/>
      </w:pPr>
      <w:r>
        <w:rPr>
          <w:rFonts w:ascii="仿宋_GB2312" w:hAnsi="仿宋_GB2312" w:cs="仿宋_GB2312" w:eastAsia="仿宋_GB2312"/>
        </w:rPr>
        <w:t>3、社会保障资⾦缴纳证明：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p>
      <w:pPr>
        <w:pStyle w:val="null3"/>
      </w:pPr>
      <w:r>
        <w:rPr>
          <w:rFonts w:ascii="仿宋_GB2312" w:hAnsi="仿宋_GB2312" w:cs="仿宋_GB2312" w:eastAsia="仿宋_GB2312"/>
        </w:rPr>
        <w:t>4、财务状况证明：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p>
      <w:pPr>
        <w:pStyle w:val="null3"/>
      </w:pPr>
      <w:r>
        <w:rPr>
          <w:rFonts w:ascii="仿宋_GB2312" w:hAnsi="仿宋_GB2312" w:cs="仿宋_GB2312" w:eastAsia="仿宋_GB2312"/>
        </w:rPr>
        <w:t>5、履约能力：供应商应具有履行合同所必需的设备和专业技术能力；供应商须在项⽬电⼦化交易系统中按要求提供证明资料并进⾏电⼦签章</w:t>
      </w:r>
    </w:p>
    <w:p>
      <w:pPr>
        <w:pStyle w:val="null3"/>
      </w:pPr>
      <w:r>
        <w:rPr>
          <w:rFonts w:ascii="仿宋_GB2312" w:hAnsi="仿宋_GB2312" w:cs="仿宋_GB2312" w:eastAsia="仿宋_GB2312"/>
        </w:rPr>
        <w:t>6、无重大违法记录：供应商在参加政府采购活动前3年内，在经营活动中没有重大违法记录；供应商须在项⽬电⼦化交易系统中按要求提供证明资料并进⾏电⼦签章</w:t>
      </w:r>
    </w:p>
    <w:p>
      <w:pPr>
        <w:pStyle w:val="null3"/>
      </w:pPr>
      <w:r>
        <w:rPr>
          <w:rFonts w:ascii="仿宋_GB2312" w:hAnsi="仿宋_GB2312" w:cs="仿宋_GB2312" w:eastAsia="仿宋_GB2312"/>
        </w:rPr>
        <w:t>7、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8、中⼩企业声明函：本项⽬专⻔⾯向中⼩企业采购，需提供中⼩企业声明；供应商须在项⽬电⼦化交易系统中按要求提供证明资料并进⾏电⼦签章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等主体资格证明合法有效：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p>
      <w:pPr>
        <w:pStyle w:val="null3"/>
      </w:pPr>
      <w:r>
        <w:rPr>
          <w:rFonts w:ascii="仿宋_GB2312" w:hAnsi="仿宋_GB2312" w:cs="仿宋_GB2312" w:eastAsia="仿宋_GB2312"/>
        </w:rPr>
        <w:t>2、税收缴纳记录：提供已缴纳近一年内任意三个月的纳税或完税证明（任意税种）扫描件，依法免税的应提供相关证明。纳税证明或完税证明上应有代收机构或税务机关的公章或业务专用章。（注：①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p>
      <w:pPr>
        <w:pStyle w:val="null3"/>
      </w:pPr>
      <w:r>
        <w:rPr>
          <w:rFonts w:ascii="仿宋_GB2312" w:hAnsi="仿宋_GB2312" w:cs="仿宋_GB2312" w:eastAsia="仿宋_GB2312"/>
        </w:rPr>
        <w:t>3、社会保障资⾦缴纳证明：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p>
      <w:pPr>
        <w:pStyle w:val="null3"/>
      </w:pPr>
      <w:r>
        <w:rPr>
          <w:rFonts w:ascii="仿宋_GB2312" w:hAnsi="仿宋_GB2312" w:cs="仿宋_GB2312" w:eastAsia="仿宋_GB2312"/>
        </w:rPr>
        <w:t>4、财务状况证明：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p>
      <w:pPr>
        <w:pStyle w:val="null3"/>
      </w:pPr>
      <w:r>
        <w:rPr>
          <w:rFonts w:ascii="仿宋_GB2312" w:hAnsi="仿宋_GB2312" w:cs="仿宋_GB2312" w:eastAsia="仿宋_GB2312"/>
        </w:rPr>
        <w:t>5、履约能力：供应商应具有履行合同所必需的设备和专业技术能力；供应商须在项⽬电⼦化交易系统中按要求提供证明资料并进⾏电⼦签章</w:t>
      </w:r>
    </w:p>
    <w:p>
      <w:pPr>
        <w:pStyle w:val="null3"/>
      </w:pPr>
      <w:r>
        <w:rPr>
          <w:rFonts w:ascii="仿宋_GB2312" w:hAnsi="仿宋_GB2312" w:cs="仿宋_GB2312" w:eastAsia="仿宋_GB2312"/>
        </w:rPr>
        <w:t>6、无重大违法记录：供应商在参加政府采购活动前3年内，在经营活动中没有重大违法记录；供应商须在项⽬电⼦化交易系统中按要求提供证明资料并进⾏电⼦签章</w:t>
      </w:r>
    </w:p>
    <w:p>
      <w:pPr>
        <w:pStyle w:val="null3"/>
      </w:pPr>
      <w:r>
        <w:rPr>
          <w:rFonts w:ascii="仿宋_GB2312" w:hAnsi="仿宋_GB2312" w:cs="仿宋_GB2312" w:eastAsia="仿宋_GB2312"/>
        </w:rPr>
        <w:t>7、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8、中⼩企业声明函：本项⽬专⻔⾯向中⼩企业采购，需提供中⼩企业声明；供应商须在项⽬电⼦化交易系统中按要求提供证明资料并进⾏电⼦签章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镇安县林业综合服务中心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镇安县西沟路34号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镇安县林业综合服务中心经办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0914－5322673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陕西隆成工程项目管理有限公司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陕西省商洛市镇安县永乐街道办镇城社区后街28号邑品府邸综合办公楼11层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陈泓铭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17386932996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采购包1：2,268,000.00元</w:t>
            </w:r>
          </w:p>
          <w:p>
            <w:pPr>
              <w:pStyle w:val="null3"/>
            </w:pPr>
            <w:r>
              <w:rPr>
                <w:rFonts w:ascii="仿宋_GB2312" w:hAnsi="仿宋_GB2312" w:cs="仿宋_GB2312" w:eastAsia="仿宋_GB2312"/>
              </w:rPr>
              <w:t>采购包2：529,200.00元</w:t>
            </w:r>
          </w:p>
          <w:p>
            <w:pPr>
              <w:pStyle w:val="null3"/>
            </w:pPr>
            <w:r>
              <w:rPr>
                <w:rFonts w:ascii="仿宋_GB2312" w:hAnsi="仿宋_GB2312" w:cs="仿宋_GB2312" w:eastAsia="仿宋_GB2312"/>
              </w:rPr>
              <w:t>采购包3：344,400.00元</w:t>
            </w:r>
          </w:p>
          <w:p>
            <w:pPr>
              <w:pStyle w:val="null3"/>
            </w:pPr>
            <w:r>
              <w:rPr>
                <w:rFonts w:ascii="仿宋_GB2312" w:hAnsi="仿宋_GB2312" w:cs="仿宋_GB2312" w:eastAsia="仿宋_GB2312"/>
              </w:rPr>
              <w:t>采购包4：260,400.00元</w:t>
            </w:r>
          </w:p>
          <w:p>
            <w:pPr>
              <w:pStyle w:val="null3"/>
            </w:pPr>
            <w:r>
              <w:rPr>
                <w:rFonts w:ascii="仿宋_GB2312" w:hAnsi="仿宋_GB2312" w:cs="仿宋_GB2312" w:eastAsia="仿宋_GB2312"/>
              </w:rPr>
              <w:t>采购包5：1,243,200.00元</w:t>
            </w:r>
          </w:p>
          <w:p>
            <w:pPr>
              <w:pStyle w:val="null3"/>
            </w:pPr>
            <w:r>
              <w:rPr>
                <w:rFonts w:ascii="仿宋_GB2312" w:hAnsi="仿宋_GB2312" w:cs="仿宋_GB2312" w:eastAsia="仿宋_GB2312"/>
              </w:rPr>
              <w:t>采购包6：1,092,000.00元</w:t>
            </w:r>
          </w:p>
          <w:p>
            <w:pPr>
              <w:pStyle w:val="null3"/>
            </w:pPr>
            <w:r>
              <w:rPr>
                <w:rFonts w:ascii="仿宋_GB2312" w:hAnsi="仿宋_GB2312" w:cs="仿宋_GB2312" w:eastAsia="仿宋_GB2312"/>
              </w:rPr>
              <w:t>采购包7：386,400.00元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采购包4保证金金额：5,000.00元</w:t>
            </w:r>
          </w:p>
          <w:p>
            <w:pPr>
              <w:pStyle w:val="null3"/>
            </w:pPr>
            <w:r>
              <w:rPr>
                <w:rFonts w:ascii="仿宋_GB2312" w:hAnsi="仿宋_GB2312" w:cs="仿宋_GB2312" w:eastAsia="仿宋_GB2312"/>
              </w:rPr>
              <w:t>采购包5保证金金额：24,000.00元</w:t>
            </w:r>
          </w:p>
          <w:p>
            <w:pPr>
              <w:pStyle w:val="null3"/>
            </w:pPr>
            <w:r>
              <w:rPr>
                <w:rFonts w:ascii="仿宋_GB2312" w:hAnsi="仿宋_GB2312" w:cs="仿宋_GB2312" w:eastAsia="仿宋_GB2312"/>
              </w:rPr>
              <w:t>采购包6保证金金额：21,000.00元</w:t>
            </w:r>
          </w:p>
          <w:p>
            <w:pPr>
              <w:pStyle w:val="null3"/>
            </w:pPr>
            <w:r>
              <w:rPr>
                <w:rFonts w:ascii="仿宋_GB2312" w:hAnsi="仿宋_GB2312" w:cs="仿宋_GB2312" w:eastAsia="仿宋_GB2312"/>
              </w:rPr>
              <w:t>采购包7保证金金额：7,000.00元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开户名称：陕西隆成工程项目管理有限公司</w:t>
            </w:r>
          </w:p>
          <w:p>
            <w:pPr>
              <w:pStyle w:val="null3"/>
            </w:pPr>
            <w:r>
              <w:rPr>
                <w:rFonts w:ascii="仿宋_GB2312" w:hAnsi="仿宋_GB2312" w:cs="仿宋_GB2312" w:eastAsia="仿宋_GB2312"/>
              </w:rPr>
              <w:t>开户银行：陕西镇安农村商业银行股份有限公司营业部</w:t>
            </w:r>
          </w:p>
          <w:p>
            <w:pPr>
              <w:pStyle w:val="null3"/>
            </w:pPr>
            <w:r>
              <w:rPr>
                <w:rFonts w:ascii="仿宋_GB2312" w:hAnsi="仿宋_GB2312" w:cs="仿宋_GB2312" w:eastAsia="仿宋_GB2312"/>
              </w:rPr>
              <w:t>银行账号：2708062801201000093407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镇安县林业综合服务中心</w:t>
      </w:r>
      <w:r>
        <w:rPr>
          <w:rFonts w:ascii="仿宋_GB2312" w:hAnsi="仿宋_GB2312" w:cs="仿宋_GB2312" w:eastAsia="仿宋_GB2312"/>
        </w:rPr>
        <w:t>和</w:t>
      </w:r>
      <w:r>
        <w:rPr>
          <w:rFonts w:ascii="仿宋_GB2312" w:hAnsi="仿宋_GB2312" w:cs="仿宋_GB2312" w:eastAsia="仿宋_GB2312"/>
        </w:rPr>
        <w:t>陕西隆成工程项目管理有限公司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镇安县林业综合服务中心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陕西隆成工程项目管理有限公司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镇安县林业综合服务中心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承包人在履行本松材线虫病疫木除治服务合同期间，依据项目要求编制形成的施工实施方案、点位分布图、作业台账、验收资料、影像档案、监测报告等全部成果资料、纸质及电子文件的著作权、所有权、知识产权永久归招标人所有；承包人仅可为本项目履约使用相关资料，不得私自留存、复制、向第三方转让、泄露、出借本项目全部资料数据与作业信息。承包人自带自有技术、专利、作业工艺等原有知识产权仍归属承包人自身所有，但承包人使用自有知识产权开展本项目服务产生的全部交付成果知识产权归属招标人。合同终止后承包人须完整移交所有项目资料，严禁私自留存项目涉密林地坐标、疫木点位等敏感信息，若发生知识产权侵权、资料泄密行为，承包人承担全部赔偿及法律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分为技术履约验收、商务履约验收两项内容，两项验收全部合格方视为整体履约验收通过。技术履约验收以枯死木伐除、伐桩无害化处理、疫木清运处置、林地清理、即死即清时效质量等实体施工指标达标为核心，配套全套施工台账、GPS 点位、影像资料、处置凭证等内业资料真实完整、可溯源，质量抽检合格率满足合同约定要求，所有问题整改闭环到位；商务履约验收核查中标人履约保证金、各项保险持续有效，项目人员、机械设备与投标承诺一致，不存在转包、违法分包、挂靠行为，计量报审、发票、变更签证、往来扣款等商务资料规范齐全，工期、付款、合同商务条款全部按约定履行。任一验收板块不合格的，不予通过整体履约验收，招标人有权暂缓办理结算、尾款支付及履约保证金退还手续，中标单位须限期整改复验直至达标，验收合格文件作为价款结算、质保期起算、质保金返还的唯一正式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履约验收分为技术履约验收、商务履约验收两项内容，两项验收全部合格方视为整体履约验收通过。技术履约验收以枯死木伐除、伐桩无害化处理、疫木清运处置、林地清理、即死即清时效质量等实体施工指标达标为核心，配套全套施工台账、GPS 点位、影像资料、处置凭证等内业资料真实完整、可溯源，质量抽检合格率满足合同约定要求，所有问题整改闭环到位；商务履约验收核查中标人履约保证金、各项保险持续有效，项目人员、机械设备与投标承诺一致，不存在转包、违法分包、挂靠行为，计量报审、发票、变更签证、往来扣款等商务资料规范齐全，工期、付款、合同商务条款全部按约定履行。任一验收板块不合格的，不予通过整体履约验收，招标人有权暂缓办理结算、尾款支付及履约保证金退还手续，中标单位须限期整改复验直至达标，验收合格文件作为价款结算、质保期起算、质保金返还的唯一正式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履约验收分为技术履约验收、商务履约验收两项内容，两项验收全部合格方视为整体履约验收通过。技术履约验收以枯死木伐除、伐桩无害化处理、疫木清运处置、林地清理、即死即清时效质量等实体施工指标达标为核心，配套全套施工台账、GPS 点位、影像资料、处置凭证等内业资料真实完整、可溯源，质量抽检合格率满足合同约定要求，所有问题整改闭环到位；商务履约验收核查中标人履约保证金、各项保险持续有效，项目人员、机械设备与投标承诺一致，不存在转包、违法分包、挂靠行为，计量报审、发票、变更签证、往来扣款等商务资料规范齐全，工期、付款、合同商务条款全部按约定履行。任一验收板块不合格的，不予通过整体履约验收，招标人有权暂缓办理结算、尾款支付及履约保证金退还手续，中标单位须限期整改复验直至达标，验收合格文件作为价款结算、质保期起算、质保金返还的唯一正式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履约验收分为技术履约验收、商务履约验收两项内容，两项验收全部合格方视为整体履约验收通过。技术履约验收以枯死木伐除、伐桩无害化处理、疫木清运处置、林地清理、即死即清时效质量等实体施工指标达标为核心，配套全套施工台账、GPS 点位、影像资料、处置凭证等内业资料真实完整、可溯源，质量抽检合格率满足合同约定要求，所有问题整改闭环到位；商务履约验收核查中标人履约保证金、各项保险持续有效，项目人员、机械设备与投标承诺一致，不存在转包、违法分包、挂靠行为，计量报审、发票、变更签证、往来扣款等商务资料规范齐全，工期、付款、合同商务条款全部按约定履行。任一验收板块不合格的，不予通过整体履约验收，招标人有权暂缓办理结算、尾款支付及履约保证金退还手续，中标单位须限期整改复验直至达标，验收合格文件作为价款结算、质保期起算、质保金返还的唯一正式依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项目履约验收分为技术履约验收、商务履约验收两项内容，两项验收全部合格方视为整体履约验收通过。技术履约验收以枯死木伐除、伐桩无害化处理、疫木清运处置、林地清理、即死即清时效质量等实体施工指标达标为核心，配套全套施工台账、GPS 点位、影像资料、处置凭证等内业资料真实完整、可溯源，质量抽检合格率满足合同约定要求，所有问题整改闭环到位；商务履约验收核查中标人履约保证金、各项保险持续有效，项目人员、机械设备与投标承诺一致，不存在转包、违法分包、挂靠行为，计量报审、发票、变更签证、往来扣款等商务资料规范齐全，工期、付款、合同商务条款全部按约定履行。任一验收板块不合格的，不予通过整体履约验收，招标人有权暂缓办理结算、尾款支付及履约保证金退还手续，中标单位须限期整改复验直至达标，验收合格文件作为价款结算、质保期起算、质保金返还的唯一正式依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项目履约验收分为技术履约验收、商务履约验收两项内容，两项验收全部合格方视为整体履约验收通过。技术履约验收以枯死木伐除、伐桩无害化处理、疫木清运处置、林地清理、即死即清时效质量等实体施工指标达标为核心，配套全套施工台账、GPS 点位、影像资料、处置凭证等内业资料真实完整、可溯源，质量抽检合格率满足合同约定要求，所有问题整改闭环到位；商务履约验收核查中标人履约保证金、各项保险持续有效，项目人员、机械设备与投标承诺一致，不存在转包、违法分包、挂靠行为，计量报审、发票、变更签证、往来扣款等商务资料规范齐全，工期、付款、合同商务条款全部按约定履行。任一验收板块不合格的，不予通过整体履约验收，招标人有权暂缓办理结算、尾款支付及履约保证金退还手续，中标单位须限期整改复验直至达标，验收合格文件作为价款结算、质保期起算、质保金返还的唯一正式依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项目履约验收分为技术履约验收、商务履约验收两项内容，两项验收全部合格方视为整体履约验收通过。技术履约验收以枯死木伐除、伐桩无害化处理、疫木清运处置、林地清理、即死即清时效质量等实体施工指标达标为核心，配套全套施工台账、GPS 点位、影像资料、处置凭证等内业资料真实完整、可溯源，质量抽检合格率满足合同约定要求，所有问题整改闭环到位；商务履约验收核查中标人履约保证金、各项保险持续有效，项目人员、机械设备与投标承诺一致，不存在转包、违法分包、挂靠行为，计量报审、发票、变更签证、往来扣款等商务资料规范齐全，工期、付款、合同商务条款全部按约定履行。任一验收板块不合格的，不予通过整体履约验收，招标人有权暂缓办理结算、尾款支付及履约保证金退还手续，中标单位须限期整改复验直至达标，验收合格文件作为价款结算、质保期起算、质保金返还的唯一正式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陕西隆成工程项目管理有限公司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联系人：陈泓铭</w:t>
      </w:r>
    </w:p>
    <w:p>
      <w:pPr>
        <w:pStyle w:val="null3"/>
      </w:pPr>
      <w:r>
        <w:rPr>
          <w:rFonts w:ascii="仿宋_GB2312" w:hAnsi="仿宋_GB2312" w:cs="仿宋_GB2312" w:eastAsia="仿宋_GB2312"/>
        </w:rPr>
        <w:t>联系电话：17386932996</w:t>
      </w:r>
    </w:p>
    <w:p>
      <w:pPr>
        <w:pStyle w:val="null3"/>
      </w:pPr>
      <w:r>
        <w:rPr>
          <w:rFonts w:ascii="仿宋_GB2312" w:hAnsi="仿宋_GB2312" w:cs="仿宋_GB2312" w:eastAsia="仿宋_GB2312"/>
        </w:rPr>
        <w:t>地址：陕西省商洛市镇安县永乐街道办镇城社区后街28号邑品府邸综合办公楼11层</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县松林开展疫情日常巡查和监测、松材线虫病枯死松树集中除治和即死即清处理。包括疫木砍伐、清理、销毁和伐蔸处理，合格率均达到100%。对全县松材线虫病疫木除治点周边松林和重点区域的松树开展人工喷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2,268,000.00</w:t>
      </w:r>
    </w:p>
    <w:p>
      <w:pPr>
        <w:pStyle w:val="null3"/>
      </w:pPr>
      <w:r>
        <w:rPr>
          <w:rFonts w:ascii="仿宋_GB2312" w:hAnsi="仿宋_GB2312" w:cs="仿宋_GB2312" w:eastAsia="仿宋_GB2312"/>
        </w:rPr>
        <w:t>采购包最高限价（元）: 2,268,000.00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永乐街道办、回龙镇 、铁厂镇、高峰镇、黑窑沟林场松材线虫病疫木除治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529,200.00</w:t>
      </w:r>
    </w:p>
    <w:p>
      <w:pPr>
        <w:pStyle w:val="null3"/>
      </w:pPr>
      <w:r>
        <w:rPr>
          <w:rFonts w:ascii="仿宋_GB2312" w:hAnsi="仿宋_GB2312" w:cs="仿宋_GB2312" w:eastAsia="仿宋_GB2312"/>
        </w:rPr>
        <w:t>采购包最高限价（元）: 529,200.00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大坪镇、米粮镇松材线虫病疫木除治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529,200.00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344,400.00</w:t>
      </w:r>
    </w:p>
    <w:p>
      <w:pPr>
        <w:pStyle w:val="null3"/>
      </w:pPr>
      <w:r>
        <w:rPr>
          <w:rFonts w:ascii="仿宋_GB2312" w:hAnsi="仿宋_GB2312" w:cs="仿宋_GB2312" w:eastAsia="仿宋_GB2312"/>
        </w:rPr>
        <w:t>采购包最高限价（元）: 344,400.00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西口回族镇松材线虫病疫木除治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344,400.00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260,400.00</w:t>
      </w:r>
    </w:p>
    <w:p>
      <w:pPr>
        <w:pStyle w:val="null3"/>
      </w:pPr>
      <w:r>
        <w:rPr>
          <w:rFonts w:ascii="仿宋_GB2312" w:hAnsi="仿宋_GB2312" w:cs="仿宋_GB2312" w:eastAsia="仿宋_GB2312"/>
        </w:rPr>
        <w:t>采购包最高限价（元）: 260,400.00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茅坪回族镇松材线虫病疫木除治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1,243,200.00</w:t>
      </w:r>
    </w:p>
    <w:p>
      <w:pPr>
        <w:pStyle w:val="null3"/>
      </w:pPr>
      <w:r>
        <w:rPr>
          <w:rFonts w:ascii="仿宋_GB2312" w:hAnsi="仿宋_GB2312" w:cs="仿宋_GB2312" w:eastAsia="仿宋_GB2312"/>
        </w:rPr>
        <w:t>采购包最高限价（元）: 1,243,200.00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青铜关镇、柴坪镇、云盖寺镇、庙沟镇松材线虫病疫木除治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1,243,200.00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1,092,000.00</w:t>
      </w:r>
    </w:p>
    <w:p>
      <w:pPr>
        <w:pStyle w:val="null3"/>
      </w:pPr>
      <w:r>
        <w:rPr>
          <w:rFonts w:ascii="仿宋_GB2312" w:hAnsi="仿宋_GB2312" w:cs="仿宋_GB2312" w:eastAsia="仿宋_GB2312"/>
        </w:rPr>
        <w:t>采购包最高限价（元）: 1,092,000.00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达仁镇、木王镇、木王林场松材线虫病疫木除治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386,400.00</w:t>
      </w:r>
    </w:p>
    <w:p>
      <w:pPr>
        <w:pStyle w:val="null3"/>
      </w:pPr>
      <w:r>
        <w:rPr>
          <w:rFonts w:ascii="仿宋_GB2312" w:hAnsi="仿宋_GB2312" w:cs="仿宋_GB2312" w:eastAsia="仿宋_GB2312"/>
        </w:rPr>
        <w:t>采购包最高限价（元）: 386,400.00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月河镇松材线虫病疫木除治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标的名称：永乐街道办、回龙镇 、铁厂镇、高峰镇、黑窑沟林场松材线虫病疫木除治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对合同包规定区域松林开展疫情日常巡查和监测、松材线虫病枯死松树集中除治和即死即清处理。包括疫木砍伐、清理、销毁和伐蔸处理，合格率均达到100%。对合同包规定区域松材线虫病疫木除治点周边松林和重点区域的松树开展人工喷药。</w:t>
            </w:r>
          </w:p>
          <w:p>
            <w:pPr>
              <w:pStyle w:val="null3"/>
            </w:pPr>
            <w:r>
              <w:rPr>
                <w:rFonts w:ascii="仿宋_GB2312" w:hAnsi="仿宋_GB2312" w:cs="仿宋_GB2312" w:eastAsia="仿宋_GB2312"/>
              </w:rPr>
              <w:t>服务期限：自合同签订之日起至2026年12月31日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标的名称：大坪镇、米粮镇松材线虫病疫木除治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对合同包规定区域松林开展疫情日常巡查和监测、松材线虫病枯死松树集中除治和即死即清处理。包括疫木砍伐、清理、销毁和伐蔸处理，合格率均达到100%。对合同包规定区域松材线虫病疫木除治点周边松林和重点区域的松树开展人工喷药。</w:t>
            </w:r>
          </w:p>
          <w:p>
            <w:pPr>
              <w:pStyle w:val="null3"/>
            </w:pPr>
            <w:r>
              <w:rPr>
                <w:rFonts w:ascii="仿宋_GB2312" w:hAnsi="仿宋_GB2312" w:cs="仿宋_GB2312" w:eastAsia="仿宋_GB2312"/>
              </w:rPr>
              <w:t>服务期限：自合同签订之日起至2026年12月31日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标的名称：西口回族镇松材线虫病疫木除治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对合同包规定区域松林开展疫情日常巡查和监测、松材线虫病枯死松树集中除治和即死即清处理。包括疫木砍伐、清理、销毁和伐蔸处理，合格率均达到100%。对合同包规定区域松材线虫病疫木除治点周边松林和重点区域的松树开展人工喷药。</w:t>
            </w:r>
          </w:p>
          <w:p>
            <w:pPr>
              <w:pStyle w:val="null3"/>
            </w:pPr>
            <w:r>
              <w:rPr>
                <w:rFonts w:ascii="仿宋_GB2312" w:hAnsi="仿宋_GB2312" w:cs="仿宋_GB2312" w:eastAsia="仿宋_GB2312"/>
              </w:rPr>
              <w:t>服务期限：自合同签订之日起至2026年12月31日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标的名称：茅坪回族镇松材线虫病疫木除治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对合同包规定区域松林开展疫情日常巡查和监测、松材线虫病枯死松树集中除治和即死即清处理。包括疫木砍伐、清理、销毁和伐蔸处理，合格率均达到100%。对合同包规定区域松材线虫病疫木除治点周边松林和重点区域的松树开展人工喷药。</w:t>
            </w:r>
          </w:p>
          <w:p>
            <w:pPr>
              <w:pStyle w:val="null3"/>
            </w:pPr>
            <w:r>
              <w:rPr>
                <w:rFonts w:ascii="仿宋_GB2312" w:hAnsi="仿宋_GB2312" w:cs="仿宋_GB2312" w:eastAsia="仿宋_GB2312"/>
              </w:rPr>
              <w:t>服务期限：自合同签订之日起至2026年12月31日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标的名称：青铜关镇、柴坪镇、云盖寺镇、庙沟镇松材线虫病疫木除治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对合同包规定区域松林开展疫情日常巡查和监测、松材线虫病枯死松树集中除治和即死即清处理。包括疫木砍伐、清理、销毁和伐蔸处理，合格率均达到100%。对合同包规定区域松材线虫病疫木除治点周边松林和重点区域的松树开展人工喷药。</w:t>
            </w:r>
          </w:p>
          <w:p>
            <w:pPr>
              <w:pStyle w:val="null3"/>
            </w:pPr>
            <w:r>
              <w:rPr>
                <w:rFonts w:ascii="仿宋_GB2312" w:hAnsi="仿宋_GB2312" w:cs="仿宋_GB2312" w:eastAsia="仿宋_GB2312"/>
              </w:rPr>
              <w:t>服务期限：自合同签订之日起至2026年12月31日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标的名称：达仁镇、木王镇、木王林场松材线虫病疫木除治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对合同包规定区域松林开展疫情日常巡查和监测、松材线虫病枯死松树集中除治和即死即清处理。包括疫木砍伐、清理、销毁和伐蔸处理，合格率均达到100%。对合同包规定区域松材线虫病疫木除治点周边松林和重点区域的松树开展人工喷药。</w:t>
            </w:r>
          </w:p>
          <w:p>
            <w:pPr>
              <w:pStyle w:val="null3"/>
            </w:pPr>
            <w:r>
              <w:rPr>
                <w:rFonts w:ascii="仿宋_GB2312" w:hAnsi="仿宋_GB2312" w:cs="仿宋_GB2312" w:eastAsia="仿宋_GB2312"/>
              </w:rPr>
              <w:t>服务期限：自合同签订之日起至2026年12月31日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标的名称：月河镇松材线虫病疫木除治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对合同包规定区域松林开展疫情日常巡查和监测、松材线虫病枯死松树集中除治和即死即清处理。包括疫木砍伐、清理、销毁和伐蔸处理，合格率均达到100%。对合同包规定区域松材线虫病疫木除治点周边松林和重点区域的松树开展人工喷药。</w:t>
            </w:r>
          </w:p>
          <w:p>
            <w:pPr>
              <w:pStyle w:val="null3"/>
            </w:pPr>
            <w:r>
              <w:rPr>
                <w:rFonts w:ascii="仿宋_GB2312" w:hAnsi="仿宋_GB2312" w:cs="仿宋_GB2312" w:eastAsia="仿宋_GB2312"/>
              </w:rPr>
              <w:t>服务期限：自合同签订之日起至2026年12月31日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镇安县永乐街道办、回龙镇、铁厂镇、高峰镇、黑窑沟林场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镇安县大坪镇、米粮镇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镇安县西口回族镇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镇安县茅坪回族镇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镇安县青铜关镇、柴坪镇、云盖寺镇、庙沟镇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镇安县达仁镇、木王镇、木王林场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镇安县月河镇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本项目验收分为施工自检、监理初验、业主联合林业主管部门竣工验收三个阶段，施工单位须同步提交全套施工方案、人员设备资料、枯死木 GPS 点位台账、一树三式施工影像记录、疫木运输及无害化处置凭证、安全管理资料等完整归档文件方可申请验收；现场须全部伐除挂牌枯死木与濒死松木，伐桩高度控制在 5cm 以内，并采用覆膜熏蒸、全剥皮、就地粉碎任一方式完成 100% 伐桩无害化处理，所有疫木及直径 1cm 以上枝桠密闭转运至指定地点无害化处置，即死即清点位需在 7 日内完成全部作业，作业区域清理干净无疫木残渣与施工废弃物；验收采用分区抽样核验工程量、随机抽查伐桩施工质量、逐项审核内业资料的方式，枯死木伐除合格率不低于 99%、伐桩处置及林地清理、资料归档合格率均需达到 100%，出现漏伐、伐桩处置不达标、疫木外流、资料造假等情形直接判定验收不合格，中标单位须限期整改复验，相关整改费用由中标单位自行承担；验收合格签署竣工验收文件完成项目交付，项目缺陷责任期 3 个月，质保期内作业区域新增枯死木由中标单位无偿处置，项目最终结算工程量以验收核定的合格处置株数为准，投标固定单价全程不作调整。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本项目验收分为施工自检、监理初验、业主联合林业主管部门竣工验收三个阶段，施工单位须同步提交全套施工方案、人员设备资料、枯死木 GPS 点位台账、一树三式施工影像记录、疫木运输及无害化处置凭证、安全管理资料等完整归档文件方可申请验收；现场须全部伐除挂牌枯死木与濒死松木，伐桩高度控制在 5cm 以内，并采用覆膜熏蒸、全剥皮、就地粉碎任一方式完成 100% 伐桩无害化处理，所有疫木及直径 1cm 以上枝桠密闭转运至指定地点无害化处置，即死即清点位需在 7 日内完成全部作业，作业区域清理干净无疫木残渣与施工废弃物；验收采用分区抽样核验工程量、随机抽查伐桩施工质量、逐项审核内业资料的方式，枯死木伐除合格率不低于 99%、伐桩处置及林地清理、资料归档合格率均需达到 100%，出现漏伐、伐桩处置不达标、疫木外流、资料造假等情形直接判定验收不合格，中标单位须限期整改复验，相关整改费用由中标单位自行承担；验收合格签署竣工验收文件完成项目交付，项目缺陷责任期 3 个月，质保期内作业区域新增枯死木由中标单位无偿处置，项目最终结算工程量以验收核定的合格处置株数为准，投标固定单价全程不作调整。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本项目验收分为施工自检、监理初验、业主联合林业主管部门竣工验收三个阶段，施工单位须同步提交全套施工方案、人员设备资料、枯死木 GPS 点位台账、一树三式施工影像记录、疫木运输及无害化处置凭证、安全管理资料等完整归档文件方可申请验收；现场须全部伐除挂牌枯死木与濒死松木，伐桩高度控制在 5cm 以内，并采用覆膜熏蒸、全剥皮、就地粉碎任一方式完成 100% 伐桩无害化处理，所有疫木及直径 1cm 以上枝桠密闭转运至指定地点无害化处置，即死即清点位需在 7 日内完成全部作业，作业区域清理干净无疫木残渣与施工废弃物；验收采用分区抽样核验工程量、随机抽查伐桩施工质量、逐项审核内业资料的方式，枯死木伐除合格率不低于 99%、伐桩处置及林地清理、资料归档合格率均需达到 100%，出现漏伐、伐桩处置不达标、疫木外流、资料造假等情形直接判定验收不合格，中标单位须限期整改复验，相关整改费用由中标单位自行承担；验收合格签署竣工验收文件完成项目交付，项目缺陷责任期 3 个月，质保期内作业区域新增枯死木由中标单位无偿处置，项目最终结算工程量以验收核定的合格处置株数为准，投标固定单价全程不作调整。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本项目验收分为施工自检、监理初验、业主联合林业主管部门竣工验收三个阶段，施工单位须同步提交全套施工方案、人员设备资料、枯死木 GPS 点位台账、一树三式施工影像记录、疫木运输及无害化处置凭证、安全管理资料等完整归档文件方可申请验收；现场须全部伐除挂牌枯死木与濒死松木，伐桩高度控制在 5cm 以内，并采用覆膜熏蒸、全剥皮、就地粉碎任一方式完成 100% 伐桩无害化处理，所有疫木及直径 1cm 以上枝桠密闭转运至指定地点无害化处置，即死即清点位需在 7 日内完成全部作业，作业区域清理干净无疫木残渣与施工废弃物；验收采用分区抽样核验工程量、随机抽查伐桩施工质量、逐项审核内业资料的方式，枯死木伐除合格率不低于 99%、伐桩处置及林地清理、资料归档合格率均需达到 100%，出现漏伐、伐桩处置不达标、疫木外流、资料造假等情形直接判定验收不合格，中标单位须限期整改复验，相关整改费用由中标单位自行承担；验收合格签署竣工验收文件完成项目交付，项目缺陷责任期 3 个月，质保期内作业区域新增枯死木由中标单位无偿处置，项目最终结算工程量以验收核定的合格处置株数为准，投标固定单价全程不作调整。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本项目验收分为施工自检、监理初验、业主联合林业主管部门竣工验收三个阶段，施工单位须同步提交全套施工方案、人员设备资料、枯死木 GPS 点位台账、一树三式施工影像记录、疫木运输及无害化处置凭证、安全管理资料等完整归档文件方可申请验收；现场须全部伐除挂牌枯死木与濒死松木，伐桩高度控制在 5cm 以内，并采用覆膜熏蒸、全剥皮、就地粉碎任一方式完成 100% 伐桩无害化处理，所有疫木及直径 1cm 以上枝桠密闭转运至指定地点无害化处置，即死即清点位需在 7 日内完成全部作业，作业区域清理干净无疫木残渣与施工废弃物；验收采用分区抽样核验工程量、随机抽查伐桩施工质量、逐项审核内业资料的方式，枯死木伐除合格率不低于 99%、伐桩处置及林地清理、资料归档合格率均需达到 100%，出现漏伐、伐桩处置不达标、疫木外流、资料造假等情形直接判定验收不合格，中标单位须限期整改复验，相关整改费用由中标单位自行承担；验收合格签署竣工验收文件完成项目交付，项目缺陷责任期 3 个月，质保期内作业区域新增枯死木由中标单位无偿处置，项目最终结算工程量以验收核定的合格处置株数为准，投标固定单价全程不作调整。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本项目验收分为施工自检、监理初验、业主联合林业主管部门竣工验收三个阶段，施工单位须同步提交全套施工方案、人员设备资料、枯死木 GPS 点位台账、一树三式施工影像记录、疫木运输及无害化处置凭证、安全管理资料等完整归档文件方可申请验收；现场须全部伐除挂牌枯死木与濒死松木，伐桩高度控制在 5cm 以内，并采用覆膜熏蒸、全剥皮、就地粉碎任一方式完成 100% 伐桩无害化处理，所有疫木及直径 1cm 以上枝桠密闭转运至指定地点无害化处置，即死即清点位需在 7 日内完成全部作业，作业区域清理干净无疫木残渣与施工废弃物；验收采用分区抽样核验工程量、随机抽查伐桩施工质量、逐项审核内业资料的方式，枯死木伐除合格率不低于 99%、伐桩处置及林地清理、资料归档合格率均需达到 100%，出现漏伐、伐桩处置不达标、疫木外流、资料造假等情形直接判定验收不合格，中标单位须限期整改复验，相关整改费用由中标单位自行承担；验收合格签署竣工验收文件完成项目交付，项目缺陷责任期 3 个月，质保期内作业区域新增枯死木由中标单位无偿处置，项目最终结算工程量以验收核定的合格处置株数为准，投标固定单价全程不作调整。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本项目验收分为施工自检、监理初验、业主联合林业主管部门竣工验收三个阶段，施工单位须同步提交全套施工方案、人员设备资料、枯死木 GPS 点位台账、一树三式施工影像记录、疫木运输及无害化处置凭证、安全管理资料等完整归档文件方可申请验收；现场须全部伐除挂牌枯死木与濒死松木，伐桩高度控制在 5cm 以内，并采用覆膜熏蒸、全剥皮、就地粉碎任一方式完成 100% 伐桩无害化处理，所有疫木及直径 1cm 以上枝桠密闭转运至指定地点无害化处置，即死即清点位需在 7 日内完成全部作业，作业区域清理干净无疫木残渣与施工废弃物；验收采用分区抽样核验工程量、随机抽查伐桩施工质量、逐项审核内业资料的方式，枯死木伐除合格率不低于 99%、伐桩处置及林地清理、资料归档合格率均需达到 100%，出现漏伐、伐桩处置不达标、疫木外流、资料造假等情形直接判定验收不合格，中标单位须限期整改复验，相关整改费用由中标单位自行承担；验收合格签署竣工验收文件完成项目交付，项目缺陷责任期 3 个月，质保期内作业区域新增枯死木由中标单位无偿处置，项目最终结算工程量以验收核定的合格处置株数为准，投标固定单价全程不作调整。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进度款，服务期过半且验收合格，达到付款条件起5个工作日内，支付合同总金额的30.0%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进度款，项目完工且验收合格，达到付款条件起10个工作日内，支付合同总金额的25.0%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其他，三个月质保期满，达到付款条件起10个工作日内，支付合同总金额的5.0%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进度款，服务期过半且验收合格，达到付款条件起5个工作日内，支付合同总金额的30.0%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进度款，项目完工且验收合格，达到付款条件起10个工作日内，支付合同总金额的25.0%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其他，三个月质保期满，达到付款条件起10个工作日内，支付合同总金额的5.0%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进度款，服务期过半且验收合格，达到付款条件起5个工作日内，支付合同总金额的30.0%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进度款，项目完工且验收合格，达到付款条件起10个工作日内，支付合同总金额的25.0%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其他，三个月质保期满，达到付款条件起10个工作日内，支付合同总金额的5.0%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进度款，服务期过半且验收合格，达到付款条件起5个工作日内，支付合同总金额的30.0%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进度款，项目完工且验收合格，达到付款条件起10个工作日内，支付合同总金额的25.0%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其他，三个月质保期满，达到付款条件起10个工作日内，支付合同总金额的5.0%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进度款，服务期过半且验收合格，达到付款条件起5个工作日内，支付合同总金额的30.0%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进度款，项目完工且验收合格，达到付款条件起10个工作日内，支付合同总金额的25.0%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其他，三个月质保期满，达到付款条件起10个工作日内，支付合同总金额的5.0%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进度款，服务期过半且验收合格，达到付款条件起5个工作日内，支付合同总金额的30.0%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进度款，项目完工且验收合格，达到付款条件起10个工作日内，支付合同总金额的25.0%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其他，三个月质保期满，达到付款条件起10个工作日内，支付合同总金额的5.0%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进度款，服务期过半且验收合格，达到付款条件起5个工作日内，支付合同总金额的30.0%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进度款，项目完工且验收合格，达到付款条件起10个工作日内，支付合同总金额的25.0%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其他，三个月质保期满，达到付款条件起10个工作日内，支付合同总金额的5.0%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未按合同工期、作业标准完成疫木除治施工，出现质量不合格、逾期完工、资料提交滞后等违约情形的，招标人有权扣除相应履约保证金、暂缓支付工程款项，中标人须无偿返工整改并承担由此造成的一切损失；中标人违规处置疫木、造成疫木外流、引发松材线虫疫情扩散、泄露林地点位涉密资料的，招标人有权单方解除合同，没收全部履约保证金，同时中标人需赔付招标人全部经济损失并承担相应行政、法律责任；招标人未按合同约定按期支付合规结算款项的，按同期银行贷款基准利率支付逾期资金利息。合同履行过程中产生的一切分歧与争议，双方优先通过友好协商解决；协商无法达成一致的，任何一方均可向项目所在地人民法院提起民事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未按合同工期、作业标准完成疫木除治施工，出现质量不合格、逾期完工、资料提交滞后等违约情形的，招标人有权扣除相应履约保证金、暂缓支付工程款项，中标人须无偿返工整改并承担由此造成的一切损失；中标人违规处置疫木、造成疫木外流、引发松材线虫疫情扩散、泄露林地点位涉密资料的，招标人有权单方解除合同，没收全部履约保证金，同时中标人需赔付招标人全部经济损失并承担相应行政、法律责任；招标人未按合同约定按期支付合规结算款项的，按同期银行贷款基准利率支付逾期资金利息。合同履行过程中产生的一切分歧与争议，双方优先通过友好协商解决；协商无法达成一致的，任何一方均可向项目所在地人民法院提起民事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人未按合同工期、作业标准完成疫木除治施工，出现质量不合格、逾期完工、资料提交滞后等违约情形的，招标人有权扣除相应履约保证金、暂缓支付工程款项，中标人须无偿返工整改并承担由此造成的一切损失；中标人违规处置疫木、造成疫木外流、引发松材线虫疫情扩散、泄露林地点位涉密资料的，招标人有权单方解除合同，没收全部履约保证金，同时中标人需赔付招标人全部经济损失并承担相应行政、法律责任；招标人未按合同约定按期支付合规结算款项的，按同期银行贷款基准利率支付逾期资金利息。合同履行过程中产生的一切分歧与争议，双方优先通过友好协商解决；协商无法达成一致的，任何一方均可向项目所在地人民法院提起民事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标人未按合同工期、作业标准完成疫木除治施工，出现质量不合格、逾期完工、资料提交滞后等违约情形的，招标人有权扣除相应履约保证金、暂缓支付工程款项，中标人须无偿返工整改并承担由此造成的一切损失；中标人违规处置疫木、造成疫木外流、引发松材线虫疫情扩散、泄露林地点位涉密资料的，招标人有权单方解除合同，没收全部履约保证金，同时中标人需赔付招标人全部经济损失并承担相应行政、法律责任；招标人未按合同约定按期支付合规结算款项的，按同期银行贷款基准利率支付逾期资金利息。合同履行过程中产生的一切分歧与争议，双方优先通过友好协商解决；协商无法达成一致的，任何一方均可向项目所在地人民法院提起民事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中标人未按合同工期、作业标准完成疫木除治施工，出现质量不合格、逾期完工、资料提交滞后等违约情形的，招标人有权扣除相应履约保证金、暂缓支付工程款项，中标人须无偿返工整改并承担由此造成的一切损失；中标人违规处置疫木、造成疫木外流、引发松材线虫疫情扩散、泄露林地点位涉密资料的，招标人有权单方解除合同，没收全部履约保证金，同时中标人需赔付招标人全部经济损失并承担相应行政、法律责任；招标人未按合同约定按期支付合规结算款项的，按同期银行贷款基准利率支付逾期资金利息。合同履行过程中产生的一切分歧与争议，双方优先通过友好协商解决；协商无法达成一致的，任何一方均可向项目所在地人民法院提起民事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中标人未按合同工期、作业标准完成疫木除治施工，出现质量不合格、逾期完工、资料提交滞后等违约情形的，招标人有权扣除相应履约保证金、暂缓支付工程款项，中标人须无偿返工整改并承担由此造成的一切损失；中标人违规处置疫木、造成疫木外流、引发松材线虫疫情扩散、泄露林地点位涉密资料的，招标人有权单方解除合同，没收全部履约保证金，同时中标人需赔付招标人全部经济损失并承担相应行政、法律责任；招标人未按合同约定按期支付合规结算款项的，按同期银行贷款基准利率支付逾期资金利息。合同履行过程中产生的一切分歧与争议，双方优先通过友好协商解决；协商无法达成一致的，任何一方均可向项目所在地人民法院提起民事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中标人未按合同工期、作业标准完成疫木除治施工，出现质量不合格、逾期完工、资料提交滞后等违约情形的，招标人有权扣除相应履约保证金、暂缓支付工程款项，中标人须无偿返工整改并承担由此造成的一切损失；中标人违规处置疫木、造成疫木外流、引发松材线虫疫情扩散、泄露林地点位涉密资料的，招标人有权单方解除合同，没收全部履约保证金，同时中标人需赔付招标人全部经济损失并承担相应行政、法律责任；招标人未按合同约定按期支付合规结算款项的，按同期银行贷款基准利率支付逾期资金利息。合同履行过程中产生的一切分歧与争议，双方优先通过友好协商解决；协商无法达成一致的，任何一方均可向项目所在地人民法院提起民事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一、投标文件递交要求（中标后备案） 中标供应商领取中标通知书时，须向采购代理机构提交一正两副纸质投标文件及电子版投标文件1份。电子版文件须为完整签字盖章后的扫描PDF格式，以U盘介质提交，且纸质版、电子版投标文件内容必须与陕西省政府采购电子化系统上传的投标响应文件内容完全一致，不得存在遗漏、篡改、替换等情形。 递交地址：陕西省商洛市镇安县永乐街道办镇城社区后街28号邑品府邸综合办公楼11层。 二、投标报价包含范围与费用界定 投标人的投标报价为响应本招标项目全部工作内容的最终包干价格，涵盖投标人完成本项目全部服务、施工及配套工作所需的所有费用，包含直接费、间接费、企业管理费、利润、税金及项目实施全过程产生的全部相关费用。 报价包含但不限于：施工设备使用费、人工劳务费、材料与设备采购费、运输装卸费、安装调试费、后期维护维修费、保险费、各类政策性规费、风险防控费用、安全文明施工费、责任赔付费用等与本项目相关的一切费用。 投标人在投标报价阶段对项目工作内容、费用项目的任何遗漏、预估不足，均视为投标人自主承担的投标风险，项目实施过程中采购人不予任何追加费用、补偿费用，所有遗漏工作内容均由中标供应商免费完善、保质完成。 三、合格投标人数量不足三家的评审及采购处置规则 本项目公开招标评审过程中，合格投标人数量未达三家的，严格按照以下规则处置： 1. 评审阶段经资格审查、符合性审查后，合格投标人仅为2家的，若符合政府采购相关法规允许继续评审的情形，或本项目属于政府购买服务指导性目录范围内项目，可继续开展后续评审工作；合格投标人仅为1家的，本次招标活动终止，采购人依法重新组织公开招标。 2. 除上述可继续评审的特殊情形外，评审过程中合格投标人数量少于3家的，本次招标活动无效，采购人依法重新组织采购活动。 四、恶意质疑、投诉的认定及法律责任 所有参与本次招标活动的投标人，应当依法依规行使质疑、投诉权利，严禁捏造事实、提供虚假材料、以非法手段获取证明材料发起质疑、投诉，违规者将承担相应行政及刑事责任。 1. 行政惩戒后果：依据《政府采购质疑和投诉办法》（财政部令第94号）相关规定，投诉人在全国范围内十二个月内三次以上投诉经查无实据的，由财政部门纳入政府采购不良行为记录名单。对于捏造事实、提供虚假材料，或证据来源合法性存在明显疑问且无法证明合法取得方式，以非法手段获取证明材料发起投诉的，认定为虚假、恶意投诉，由财政部门列入不良行为记录名单，并限制其一至三年内参与全国政府采购活动。 2. 刑事法律后果： （1）依据《中华人民共和国刑法》第二百四十三条【诬告陷害罪】，捏造事实诬告陷害他人，意图使他人受到刑事追究，情节严重的，处三年以下有期徒刑、拘役或者管制；造成严重后果的，处三年以上十年以下有期徒刑。 （2）依据《中华人民共和国刑法》第二百四十六条【侮辱罪、诽谤罪】，以暴力或者其他方法公然侮辱他人或者捏造事实诽谤他人，情节严重的，处三年以下有期徒刑、拘役、管制或者剥夺政治权利。 五、投标报价细微偏差修正规则 本项目投标文件一次报价存在细微计算偏差、文字金额不一致情形的，无需投标人现场澄清，评审委员会按以下既定规则统一修正，修正结果对投标人具有约束力： 1. 报价大写金额与小写金额不一致的，以大写金额为准；若大写金额存在文字错误、金额无法准确判定的，除外； 2. 单项单价小数点、百分比存在明显错位失误的，以投标总价为准，反向修正对应单价； 3. 投标总价与各单价汇总计算金额不一致的，以单价汇总核算金额为准，修正投标总价。 若同时出现两项及以上报价偏差的，严格按照上述条款顺序依次修正。修正后的投标报价，经投标人加盖合法电子印章确认后正式生效、具有法律约束力；投标人拒不确认修正报价的，其投标文件按无效投标处理。 六、异常低价报价审查规则 本项目最终投标报价经评审认定存在异常低价的，严格执行《关于推动解决政府采购异常低价问题的通知》（财库〔2026〕2号）文件相关规定，由招标评审小组在最终报价审查表中完成合规性审核，审核不通过的，作无效投标处理。 七、本项目落实政府采购政策清单 本项目严格执行国家及陕西省现行政府采购扶持、监管类政策，具体落实政策如下： 1. 《财政部 司法部关于政府采购支持监狱企业发展有关问题的通知》（财库〔2014〕68号）； 2. 《关于政府采购优先购买福利性企业产品和服务的意见》（陕民发〔2015〕1号）； 3. 《财政部关于在政府采购活动中查询及使用信用记录有关问题的通知》（财库〔2016〕125号）； 4. 《三部门联合发布关于促进残疾人就业政府采购政策的通知》（财库〔2017〕141号）； 5. 《陕西省中小企业政府采购信用融资办法》（陕财办采〔2018〕23号）； 6. 《财政部 发展改革委 生态环境部 市场监管总局关于调整优化节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供应商在参加政府采购活动前3年内，在经营活动中没有重大违法记录；供应商须在项⽬电⼦化交易系统中按要求提供证明资料并进⾏电⼦签章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供应商在参加政府采购活动前3年内，在经营活动中没有重大违法记录；供应商须在项⽬电⼦化交易系统中按要求提供证明资料并进⾏电⼦签章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供应商在参加政府采购活动前3年内，在经营活动中没有重大违法记录；供应商须在项⽬电⼦化交易系统中按要求提供证明资料并进⾏电⼦签章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供应商在参加政府采购活动前3年内，在经营活动中没有重大违法记录；供应商须在项⽬电⼦化交易系统中按要求提供证明资料并进⾏电⼦签章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供应商在参加政府采购活动前3年内，在经营活动中没有重大违法记录；供应商须在项⽬电⼦化交易系统中按要求提供证明资料并进⾏电⼦签章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供应商在参加政府采购活动前3年内，在经营活动中没有重大违法记录；供应商须在项⽬电⼦化交易系统中按要求提供证明资料并进⾏电⼦签章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分公司投标的还需提供总公司营业执照、针对本项目的授权书及分公司的营业执照）；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提供已缴纳近一年内任意三个月的纳税或完税证明（任意税种）扫描件，依法免税的应提供相关证明。纳税证明或完税证明上应有代收机构或税务机关的公章或业务专用章。（注：① 新成立企业（成立一个月内）暂无纳税提供说明加盖公章；②零报税提供申报成果的凭证；③正在办理纳税的应提供受理部门已受理的凭证；④时间以税款所属时期为准。）；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止日前一年内任意三个月已缴纳的社会保障资金缴存单据或社保机构开具的社会保险参保缴费情况证明；依法不需要缴纳社会保障资金的应提供相关文件证明；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供应商2025年度经注册会计师签署的财务审计报告（包括“三表”及附注）（成立时间至投标截止时间不足一年的可提供成立后任意时段的资产负债表），或者提供其投标前六个月内基本存款账户开户银行出具的资信证明及基本存款账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供应商在参加政府采购活动前3年内，在经营活动中没有重大违法记录；供应商须在项⽬电⼦化交易系统中按要求提供证明资料并进⾏电⼦签章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不得提交选择性报价，且投标报价不超过采购预算金额或最高限价。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w:t>
            </w:r>
          </w:p>
        </w:tc>
        <w:tc>
          <w:tcPr>
            <w:tcW w:type="dxa" w:w="1661"/>
          </w:tcPr>
          <w:p>
            <w:pPr>
              <w:pStyle w:val="null3"/>
            </w:pPr>
            <w:r>
              <w:rPr>
                <w:rFonts w:ascii="仿宋_GB2312" w:hAnsi="仿宋_GB2312" w:cs="仿宋_GB2312" w:eastAsia="仿宋_GB2312"/>
              </w:rPr>
              <w:t>投标函 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不得提交选择性报价，且投标报价不超过采购预算金额或最高限价。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w:t>
            </w:r>
          </w:p>
        </w:tc>
        <w:tc>
          <w:tcPr>
            <w:tcW w:type="dxa" w:w="1661"/>
          </w:tcPr>
          <w:p>
            <w:pPr>
              <w:pStyle w:val="null3"/>
            </w:pPr>
            <w:r>
              <w:rPr>
                <w:rFonts w:ascii="仿宋_GB2312" w:hAnsi="仿宋_GB2312" w:cs="仿宋_GB2312" w:eastAsia="仿宋_GB2312"/>
              </w:rPr>
              <w:t>投标函 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不得提交选择性报价，且投标报价不超过采购预算金额或最高限价。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w:t>
            </w:r>
          </w:p>
        </w:tc>
        <w:tc>
          <w:tcPr>
            <w:tcW w:type="dxa" w:w="1661"/>
          </w:tcPr>
          <w:p>
            <w:pPr>
              <w:pStyle w:val="null3"/>
            </w:pPr>
            <w:r>
              <w:rPr>
                <w:rFonts w:ascii="仿宋_GB2312" w:hAnsi="仿宋_GB2312" w:cs="仿宋_GB2312" w:eastAsia="仿宋_GB2312"/>
              </w:rPr>
              <w:t>投标函 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不得提交选择性报价，且投标报价不超过采购预算金额或最高限价。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w:t>
            </w:r>
          </w:p>
        </w:tc>
        <w:tc>
          <w:tcPr>
            <w:tcW w:type="dxa" w:w="1661"/>
          </w:tcPr>
          <w:p>
            <w:pPr>
              <w:pStyle w:val="null3"/>
            </w:pPr>
            <w:r>
              <w:rPr>
                <w:rFonts w:ascii="仿宋_GB2312" w:hAnsi="仿宋_GB2312" w:cs="仿宋_GB2312" w:eastAsia="仿宋_GB2312"/>
              </w:rPr>
              <w:t>投标函 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不得提交选择性报价，且投标报价不超过采购预算金额或最高限价。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w:t>
            </w:r>
          </w:p>
        </w:tc>
        <w:tc>
          <w:tcPr>
            <w:tcW w:type="dxa" w:w="1661"/>
          </w:tcPr>
          <w:p>
            <w:pPr>
              <w:pStyle w:val="null3"/>
            </w:pPr>
            <w:r>
              <w:rPr>
                <w:rFonts w:ascii="仿宋_GB2312" w:hAnsi="仿宋_GB2312" w:cs="仿宋_GB2312" w:eastAsia="仿宋_GB2312"/>
              </w:rPr>
              <w:t>投标函 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不得提交选择性报价，且投标报价不超过采购预算金额或最高限价。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w:t>
            </w:r>
          </w:p>
        </w:tc>
        <w:tc>
          <w:tcPr>
            <w:tcW w:type="dxa" w:w="1661"/>
          </w:tcPr>
          <w:p>
            <w:pPr>
              <w:pStyle w:val="null3"/>
            </w:pPr>
            <w:r>
              <w:rPr>
                <w:rFonts w:ascii="仿宋_GB2312" w:hAnsi="仿宋_GB2312" w:cs="仿宋_GB2312" w:eastAsia="仿宋_GB2312"/>
              </w:rPr>
              <w:t>投标函 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不得提交选择性报价，且投标报价不超过采购预算金额或最高限价。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供应商类似项目业绩一览表.docx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w:t>
            </w:r>
          </w:p>
        </w:tc>
        <w:tc>
          <w:tcPr>
            <w:tcW w:type="dxa" w:w="1661"/>
          </w:tcPr>
          <w:p>
            <w:pPr>
              <w:pStyle w:val="null3"/>
            </w:pPr>
            <w:r>
              <w:rPr>
                <w:rFonts w:ascii="仿宋_GB2312" w:hAnsi="仿宋_GB2312" w:cs="仿宋_GB2312" w:eastAsia="仿宋_GB2312"/>
              </w:rPr>
              <w:t>投标函 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提供1份得2分，最高得10分。 注：项目业绩指2023年08月24日及以后类似项目业绩，以合同签订时间为准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人员配备与资质</w:t>
            </w:r>
          </w:p>
        </w:tc>
        <w:tc>
          <w:tcPr>
            <w:tcW w:type="dxa" w:w="2492"/>
          </w:tcPr>
          <w:p>
            <w:pPr>
              <w:pStyle w:val="null3"/>
            </w:pPr>
            <w:r>
              <w:rPr>
                <w:rFonts w:ascii="仿宋_GB2312" w:hAnsi="仿宋_GB2312" w:cs="仿宋_GB2312" w:eastAsia="仿宋_GB2312"/>
              </w:rPr>
              <w:t>1. 项目负责人资质（3分）： （1）持有林业类高级职称证书，得 3 分 （2）持有林业类中级职称证书，得 2 分 （3）持有林业类初级职称证书，得 1 分 （4）无有效证书，得 0 分 2. 团队专业配置（7分）： 团队内每有一人持有林业类高级职称证书得3分，每有一人持有林业类中级职称证书得2分，每有一人持有林业类初级职称证书得1分，本项最高7分。 须附上项目组全部人员身份证、职称证书扫描件，证书造假、人员无法核验的直接本项清零。项目负责人业绩指2023年8月24日以来类似项目业绩，以合同签订时间为准。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1、（12，15] 分：方案贴合本项目现场需求，内容完整详实，精准梳理施工重难点并给出落地解决方案，进度规划分层细化，整体科学性、可实施性强。 2、（8，12] 分：方案内容完整，可识别部分重难点并给出处置措施，进度计划合理，整体符合项目基本要求，本地化匹配度一般。 3、（4，8] 分：方案框架完整，多为通用模板，重难点分析浅显，进度仅有总工期无细分安排，仅可满足基础施工需求。 4、[0，4] 分：方案缺漏关键施工内容，无重难点分析与有效进度计划，工艺不符合规范，无法指导现场施工。 评审备注：专家依据方案完整度、重难点处置有效性、进度规划合理性划定区间，区间内据实打分。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质量控制、保证体系及措施</w:t>
            </w:r>
          </w:p>
        </w:tc>
        <w:tc>
          <w:tcPr>
            <w:tcW w:type="dxa" w:w="2492"/>
          </w:tcPr>
          <w:p>
            <w:pPr>
              <w:pStyle w:val="null3"/>
            </w:pPr>
            <w:r>
              <w:rPr>
                <w:rFonts w:ascii="仿宋_GB2312" w:hAnsi="仿宋_GB2312" w:cs="仿宋_GB2312" w:eastAsia="仿宋_GB2312"/>
              </w:rPr>
              <w:t>1、（7，10] 分：建立自检、复检、抽检三级质控体系，各工序管控措施精细化，配套巡查、抽检、问题整改闭环制度，贴合分片作业现状，可操作性极强。 2、（4，7] 分：具备基础质控架构与常规管控要求，拥有基础自检流程，缺少片区差异化管控及细化整改机制，无明显质量管控漏洞。 3、[0，4] 分：质控体系架构混乱，关键工序管控措施缺失，无过程检验与整改闭环，照搬模板，无法管控施工质量。 评审备注：专家根据体系完整性、工序管控细化程度、整改闭环机制划分档位，区间内据实打分。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环境保护保障措施</w:t>
            </w:r>
          </w:p>
        </w:tc>
        <w:tc>
          <w:tcPr>
            <w:tcW w:type="dxa" w:w="2492"/>
          </w:tcPr>
          <w:p>
            <w:pPr>
              <w:pStyle w:val="null3"/>
            </w:pPr>
            <w:r>
              <w:rPr>
                <w:rFonts w:ascii="仿宋_GB2312" w:hAnsi="仿宋_GB2312" w:cs="仿宋_GB2312" w:eastAsia="仿宋_GB2312"/>
              </w:rPr>
              <w:t>1、（7，10] 分：围绕林区施工编制全套环保方案，覆盖植被保护、药剂废弃物回收、垃圾清运、林地复原、环保应急等内容，管控流程完善，落地性高。 2、（4，7] 分：环保措施覆盖主要管控要点，满足招标基本要求，内容偏通用，缺少林区专项细则与常态化环保巡查机制。 3、[0，4] 分：环保内容空洞模板化，未结合项目实际，核心环保措施缺失，方案存在明显缺陷，达不到环保施工标准。 评审备注：专家结合方案适配度、环保举措落地性、应急方案完备度划分区间，区间内据实打分。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施工进度及服务周期保障</w:t>
            </w:r>
          </w:p>
        </w:tc>
        <w:tc>
          <w:tcPr>
            <w:tcW w:type="dxa" w:w="2492"/>
          </w:tcPr>
          <w:p>
            <w:pPr>
              <w:pStyle w:val="null3"/>
            </w:pPr>
            <w:r>
              <w:rPr>
                <w:rFonts w:ascii="仿宋_GB2312" w:hAnsi="仿宋_GB2312" w:cs="仿宋_GB2312" w:eastAsia="仿宋_GB2312"/>
              </w:rPr>
              <w:t>1、（7，10] 分：工期排布匹配招标要求，各工序衔接有序，配备人机调配、雨天补救、进度预警、滞后处置方案，进度计划落地可靠。 2、（4，7] 分：设有总体工期与分段计划，工序逻辑无误，进度保障措施简略，缺少工程量匹配的细化排班与工期补救方案。 3、[0，4] 分：仅标注总工期，无工序排布与任何进度保障措施，无实质内容，难以按期完成服务工作。 评审备注：专家依据周期合规性、工序衔接、进度措施实操性划定区间，区间内据实打分。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项目专项服务小组组织架构配置</w:t>
            </w:r>
          </w:p>
        </w:tc>
        <w:tc>
          <w:tcPr>
            <w:tcW w:type="dxa" w:w="2492"/>
          </w:tcPr>
          <w:p>
            <w:pPr>
              <w:pStyle w:val="null3"/>
            </w:pPr>
            <w:r>
              <w:rPr>
                <w:rFonts w:ascii="仿宋_GB2312" w:hAnsi="仿宋_GB2312" w:cs="仿宋_GB2312" w:eastAsia="仿宋_GB2312"/>
              </w:rPr>
              <w:t>1、（3，5] 分：项目组织岗位齐全、权责划分清晰，人员资质配置优良，考勤、考核、值守等内部管理制度完善，适配分片施工管理。 2、（2，3] 分：具备基础组织框架与岗位职责，人员配置满足最低施工需求，管理制度仅有常规条款，缺少林区针对性管理细则。 3、[0，2] 分：组织机构表述模糊，岗位、人员安排混乱，管理制度空洞无实质约束效力，无法管控现场人员作业。 评审备注：专家按照架构完整性、权责清晰度、人员实力、管理制度完善度划分区间，区间内据实打分。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委员会只对实质性审查合格的投标文件进行价格评议，报价分采用低价优先法计算，即满足招标文件要求且投标价格（落实政府采购政策进行价格调整的，以调整后的价格计算）最低的投标报价为评标基准价，其价格分为满分。其他供应商的价格分按照下列公式计算：报价得分=(评标基准价／投标报价)×30 经评委一致认定，供应商的投标总报价低于公认市场成本，或超过最高限价，其投标将被拒绝。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提供1份得2分，最高得10分。 注：项目业绩指2023年08月24日及以后类似项目业绩，以合同签订时间为准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人员配备与资质</w:t>
            </w:r>
          </w:p>
        </w:tc>
        <w:tc>
          <w:tcPr>
            <w:tcW w:type="dxa" w:w="2492"/>
          </w:tcPr>
          <w:p>
            <w:pPr>
              <w:pStyle w:val="null3"/>
            </w:pPr>
            <w:r>
              <w:rPr>
                <w:rFonts w:ascii="仿宋_GB2312" w:hAnsi="仿宋_GB2312" w:cs="仿宋_GB2312" w:eastAsia="仿宋_GB2312"/>
              </w:rPr>
              <w:t>1. 项目负责人资质（3分）： （1）持有林业类高级职称证书，得 3 分 （2）持有林业类中级职称证书，得 2 分 （3）持有林业类初级职称证书，得 1 分 （4）无有效证书，得 0 分 2. 团队专业配置（7分）： 团队内每有一人持有林业类高级职称证书得3分，每有一人持有林业类中级职称证书得2分，每有一人持有林业类初级职称证书得1分，本项最高7分。 须附上项目组全部人员身份证、职称证书扫描件，证书造假、人员无法核验的直接本项清零。项目负责人业绩指2023年8月24日以来类似项目业绩，以合同签订时间为准。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1、（12，15] 分：方案贴合本项目现场需求，内容完整详实，精准梳理施工重难点并给出落地解决方案，进度规划分层细化，整体科学性、可实施性强。 2、（8，12] 分：方案内容完整，可识别部分重难点并给出处置措施，进度计划合理，整体符合项目基本要求，本地化匹配度一般。 3、（4，8] 分：方案框架完整，多为通用模板，重难点分析浅显，进度仅有总工期无细分安排，仅可满足基础施工需求。 4、[0，4] 分：方案缺漏关键施工内容，无重难点分析与有效进度计划，工艺不符合规范，无法指导现场施工。 评审备注：专家依据方案完整度、重难点处置有效性、进度规划合理性划定区间，区间内据实打分。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质量控制、保证体系及措施</w:t>
            </w:r>
          </w:p>
        </w:tc>
        <w:tc>
          <w:tcPr>
            <w:tcW w:type="dxa" w:w="2492"/>
          </w:tcPr>
          <w:p>
            <w:pPr>
              <w:pStyle w:val="null3"/>
            </w:pPr>
            <w:r>
              <w:rPr>
                <w:rFonts w:ascii="仿宋_GB2312" w:hAnsi="仿宋_GB2312" w:cs="仿宋_GB2312" w:eastAsia="仿宋_GB2312"/>
              </w:rPr>
              <w:t>1、（7，10] 分：建立自检、复检、抽检三级质控体系，各工序管控措施精细化，配套巡查、抽检、问题整改闭环制度，贴合分片作业现状，可操作性极强。 2、（4，7] 分：具备基础质控架构与常规管控要求，拥有基础自检流程，缺少片区差异化管控及细化整改机制，无明显质量管控漏洞。 3、[0，4] 分：质控体系架构混乱，关键工序管控措施缺失，无过程检验与整改闭环，照搬模板，无法管控施工质量。 评审备注：专家根据体系完整性、工序管控细化程度、整改闭环机制划分档位，区间内据实打分。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环境保护保障措施</w:t>
            </w:r>
          </w:p>
        </w:tc>
        <w:tc>
          <w:tcPr>
            <w:tcW w:type="dxa" w:w="2492"/>
          </w:tcPr>
          <w:p>
            <w:pPr>
              <w:pStyle w:val="null3"/>
            </w:pPr>
            <w:r>
              <w:rPr>
                <w:rFonts w:ascii="仿宋_GB2312" w:hAnsi="仿宋_GB2312" w:cs="仿宋_GB2312" w:eastAsia="仿宋_GB2312"/>
              </w:rPr>
              <w:t>1、（7，10] 分：围绕林区施工编制全套环保方案，覆盖植被保护、药剂废弃物回收、垃圾清运、林地复原、环保应急等内容，管控流程完善，落地性高。 2、（4，7] 分：环保措施覆盖主要管控要点，满足招标基本要求，内容偏通用，缺少林区专项细则与常态化环保巡查机制。 3、[0，4] 分：环保内容空洞模板化，未结合项目实际，核心环保措施缺失，方案存在明显缺陷，达不到环保施工标准。 评审备注：专家结合方案适配度、环保举措落地性、应急方案完备度划分区间，区间内据实打分。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施工进度及服务周期保障</w:t>
            </w:r>
          </w:p>
        </w:tc>
        <w:tc>
          <w:tcPr>
            <w:tcW w:type="dxa" w:w="2492"/>
          </w:tcPr>
          <w:p>
            <w:pPr>
              <w:pStyle w:val="null3"/>
            </w:pPr>
            <w:r>
              <w:rPr>
                <w:rFonts w:ascii="仿宋_GB2312" w:hAnsi="仿宋_GB2312" w:cs="仿宋_GB2312" w:eastAsia="仿宋_GB2312"/>
              </w:rPr>
              <w:t>1、（7，10] 分：工期排布匹配招标要求，各工序衔接有序，配备人机调配、雨天补救、进度预警、滞后处置方案，进度计划落地可靠。 2、（4，7] 分：设有总体工期与分段计划，工序逻辑无误，进度保障措施简略，缺少工程量匹配的细化排班与工期补救方案。 3、[0，4] 分：仅标注总工期，无工序排布与任何进度保障措施，无实质内容，难以按期完成服务工作。 评审备注：专家依据周期合规性、工序衔接、进度措施实操性划定区间，区间内据实打分。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项目专项服务小组组织架构配置</w:t>
            </w:r>
          </w:p>
        </w:tc>
        <w:tc>
          <w:tcPr>
            <w:tcW w:type="dxa" w:w="2492"/>
          </w:tcPr>
          <w:p>
            <w:pPr>
              <w:pStyle w:val="null3"/>
            </w:pPr>
            <w:r>
              <w:rPr>
                <w:rFonts w:ascii="仿宋_GB2312" w:hAnsi="仿宋_GB2312" w:cs="仿宋_GB2312" w:eastAsia="仿宋_GB2312"/>
              </w:rPr>
              <w:t>1、（3，5] 分：项目组织岗位齐全、权责划分清晰，人员资质配置优良，考勤、考核、值守等内部管理制度完善，适配分片施工管理。 2、（2，3] 分：具备基础组织框架与岗位职责，人员配置满足最低施工需求，管理制度仅有常规条款，缺少林区针对性管理细则。 3、[0，2] 分：组织机构表述模糊，岗位、人员安排混乱，管理制度空洞无实质约束效力，无法管控现场人员作业。 评审备注：专家按照架构完整性、权责清晰度、人员实力、管理制度完善度划分区间，区间内据实打分。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委员会只对实质性审查合格的投标文件进行价格评议，报价分采用低价优先法计算，即满足招标文件要求且投标价格（落实政府采购政策进行价格调整的，以调整后的价格计算）最低的投标报价为评标基准价，其价格分为满分。其他供应商的价格分按照下列公式计算：报价得分=(评标基准价／投标报价)×30 经评委一致认定，供应商的投标总报价低于公认市场成本，或超过最高限价，其投标将被拒绝。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提供1份得2分，最高得10分。 注：项目业绩指2023年08月24日及以后类似项目业绩，以合同签订时间为准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人员配备与资质</w:t>
            </w:r>
          </w:p>
        </w:tc>
        <w:tc>
          <w:tcPr>
            <w:tcW w:type="dxa" w:w="2492"/>
          </w:tcPr>
          <w:p>
            <w:pPr>
              <w:pStyle w:val="null3"/>
            </w:pPr>
            <w:r>
              <w:rPr>
                <w:rFonts w:ascii="仿宋_GB2312" w:hAnsi="仿宋_GB2312" w:cs="仿宋_GB2312" w:eastAsia="仿宋_GB2312"/>
              </w:rPr>
              <w:t>1. 项目负责人资质（3分）： （1）持有林业类高级职称证书，得 3 分 （2）持有林业类中级职称证书，得 2 分 （3）持有林业类初级职称证书，得 1 分 （4）无有效证书，得 0 分 2. 团队专业配置（7分）： 团队内每有一人持有林业类高级职称证书得3分，每有一人持有林业类中级职称证书得2分，每有一人持有林业类初级职称证书得1分，本项最高7分。 须附上项目组全部人员身份证、职称证书扫描件，证书造假、人员无法核验的直接本项清零。项目负责人业绩指2023年8月24日以来类似项目业绩，以合同签订时间为准。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1、（12，15] 分：方案贴合本项目现场需求，内容完整详实，精准梳理施工重难点并给出落地解决方案，进度规划分层细化，整体科学性、可实施性强。 2、（8，12] 分：方案内容完整，可识别部分重难点并给出处置措施，进度计划合理，整体符合项目基本要求，本地化匹配度一般。 3、（4，8] 分：方案框架完整，多为通用模板，重难点分析浅显，进度仅有总工期无细分安排，仅可满足基础施工需求。 4、[0，4] 分：方案缺漏关键施工内容，无重难点分析与有效进度计划，工艺不符合规范，无法指导现场施工。 评审备注：专家依据方案完整度、重难点处置有效性、进度规划合理性划定区间，区间内据实打分。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质量控制、保证体系及措施</w:t>
            </w:r>
          </w:p>
        </w:tc>
        <w:tc>
          <w:tcPr>
            <w:tcW w:type="dxa" w:w="2492"/>
          </w:tcPr>
          <w:p>
            <w:pPr>
              <w:pStyle w:val="null3"/>
            </w:pPr>
            <w:r>
              <w:rPr>
                <w:rFonts w:ascii="仿宋_GB2312" w:hAnsi="仿宋_GB2312" w:cs="仿宋_GB2312" w:eastAsia="仿宋_GB2312"/>
              </w:rPr>
              <w:t>1、（7，10] 分：建立自检、复检、抽检三级质控体系，各工序管控措施精细化，配套巡查、抽检、问题整改闭环制度，贴合分片作业现状，可操作性极强。 2、（4，7] 分：具备基础质控架构与常规管控要求，拥有基础自检流程，缺少片区差异化管控及细化整改机制，无明显质量管控漏洞。 3、[0，4] 分：质控体系架构混乱，关键工序管控措施缺失，无过程检验与整改闭环，照搬模板，无法管控施工质量。 评审备注：专家根据体系完整性、工序管控细化程度、整改闭环机制划分档位，区间内据实打分。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环境保护保障措施</w:t>
            </w:r>
          </w:p>
        </w:tc>
        <w:tc>
          <w:tcPr>
            <w:tcW w:type="dxa" w:w="2492"/>
          </w:tcPr>
          <w:p>
            <w:pPr>
              <w:pStyle w:val="null3"/>
            </w:pPr>
            <w:r>
              <w:rPr>
                <w:rFonts w:ascii="仿宋_GB2312" w:hAnsi="仿宋_GB2312" w:cs="仿宋_GB2312" w:eastAsia="仿宋_GB2312"/>
              </w:rPr>
              <w:t>1、（7，10] 分：围绕林区施工编制全套环保方案，覆盖植被保护、药剂废弃物回收、垃圾清运、林地复原、环保应急等内容，管控流程完善，落地性高。 2、（4，7] 分：环保措施覆盖主要管控要点，满足招标基本要求，内容偏通用，缺少林区专项细则与常态化环保巡查机制。 3、[0，4] 分：环保内容空洞模板化，未结合项目实际，核心环保措施缺失，方案存在明显缺陷，达不到环保施工标准。 评审备注：专家结合方案适配度、环保举措落地性、应急方案完备度划分区间，区间内据实打分。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施工进度及服务周期保障</w:t>
            </w:r>
          </w:p>
        </w:tc>
        <w:tc>
          <w:tcPr>
            <w:tcW w:type="dxa" w:w="2492"/>
          </w:tcPr>
          <w:p>
            <w:pPr>
              <w:pStyle w:val="null3"/>
            </w:pPr>
            <w:r>
              <w:rPr>
                <w:rFonts w:ascii="仿宋_GB2312" w:hAnsi="仿宋_GB2312" w:cs="仿宋_GB2312" w:eastAsia="仿宋_GB2312"/>
              </w:rPr>
              <w:t>1、（7，10] 分：工期排布匹配招标要求，各工序衔接有序，配备人机调配、雨天补救、进度预警、滞后处置方案，进度计划落地可靠。 2、（4，7] 分：设有总体工期与分段计划，工序逻辑无误，进度保障措施简略，缺少工程量匹配的细化排班与工期补救方案。 3、[0，4] 分：仅标注总工期，无工序排布与任何进度保障措施，无实质内容，难以按期完成服务工作。 评审备注：专家依据周期合规性、工序衔接、进度措施实操性划定区间，区间内据实打分。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项目专项服务小组组织架构配置</w:t>
            </w:r>
          </w:p>
        </w:tc>
        <w:tc>
          <w:tcPr>
            <w:tcW w:type="dxa" w:w="2492"/>
          </w:tcPr>
          <w:p>
            <w:pPr>
              <w:pStyle w:val="null3"/>
            </w:pPr>
            <w:r>
              <w:rPr>
                <w:rFonts w:ascii="仿宋_GB2312" w:hAnsi="仿宋_GB2312" w:cs="仿宋_GB2312" w:eastAsia="仿宋_GB2312"/>
              </w:rPr>
              <w:t>1、（3，5] 分：项目组织岗位齐全、权责划分清晰，人员资质配置优良，考勤、考核、值守等内部管理制度完善，适配分片施工管理。 2、（2，3] 分：具备基础组织框架与岗位职责，人员配置满足最低施工需求，管理制度仅有常规条款，缺少林区针对性管理细则。 3、[0，2] 分：组织机构表述模糊，岗位、人员安排混乱，管理制度空洞无实质约束效力，无法管控现场人员作业。 评审备注：专家按照架构完整性、权责清晰度、人员实力、管理制度完善度划分区间，区间内据实打分。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委员会只对实质性审查合格的投标文件进行价格评议，报价分采用低价优先法计算，即满足招标文件要求且投标价格（落实政府采购政策进行价格调整的，以调整后的价格计算）最低的投标报价为评标基准价，其价格分为满分。其他供应商的价格分按照下列公式计算：报价得分=(评标基准价／投标报价)×30 经评委一致认定，供应商的投标总报价低于公认市场成本，或超过最高限价，其投标将被拒绝。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提供1份得2分，最高得10分。 注：项目业绩指2023年08月24日及以后类似项目业绩，以合同签订时间为准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人员配备与资质</w:t>
            </w:r>
          </w:p>
        </w:tc>
        <w:tc>
          <w:tcPr>
            <w:tcW w:type="dxa" w:w="2492"/>
          </w:tcPr>
          <w:p>
            <w:pPr>
              <w:pStyle w:val="null3"/>
            </w:pPr>
            <w:r>
              <w:rPr>
                <w:rFonts w:ascii="仿宋_GB2312" w:hAnsi="仿宋_GB2312" w:cs="仿宋_GB2312" w:eastAsia="仿宋_GB2312"/>
              </w:rPr>
              <w:t>1. 项目负责人资质（3分）： （1）持有林业类高级职称证书，得 3 分 （2）持有林业类中级职称证书，得 2 分 （3）持有林业类初级职称证书，得 1 分 （4）无有效证书，得 0 分 2. 团队专业配置（7分）： 团队内每有一人持有林业类高级职称证书得3分，每有一人持有林业类中级职称证书得2分，每有一人持有林业类初级职称证书得1分，本项最高7分。 须附上项目组全部人员身份证、职称证书扫描件，证书造假、人员无法核验的直接本项清零。项目负责人业绩指2023年8月24日以来类似项目业绩，以合同签订时间为准。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1、（12，15] 分：方案贴合本项目现场需求，内容完整详实，精准梳理施工重难点并给出落地解决方案，进度规划分层细化，整体科学性、可实施性强。 2、（8，12] 分：方案内容完整，可识别部分重难点并给出处置措施，进度计划合理，整体符合项目基本要求，本地化匹配度一般。 3、（4，8] 分：方案框架完整，多为通用模板，重难点分析浅显，进度仅有总工期无细分安排，仅可满足基础施工需求。 4、[0，4] 分：方案缺漏关键施工内容，无重难点分析与有效进度计划，工艺不符合规范，无法指导现场施工。 评审备注：专家依据方案完整度、重难点处置有效性、进度规划合理性划定区间，区间内据实打分。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质量控制、保证体系及措施</w:t>
            </w:r>
          </w:p>
        </w:tc>
        <w:tc>
          <w:tcPr>
            <w:tcW w:type="dxa" w:w="2492"/>
          </w:tcPr>
          <w:p>
            <w:pPr>
              <w:pStyle w:val="null3"/>
            </w:pPr>
            <w:r>
              <w:rPr>
                <w:rFonts w:ascii="仿宋_GB2312" w:hAnsi="仿宋_GB2312" w:cs="仿宋_GB2312" w:eastAsia="仿宋_GB2312"/>
              </w:rPr>
              <w:t>1、（7，10] 分：建立自检、复检、抽检三级质控体系，各工序管控措施精细化，配套巡查、抽检、问题整改闭环制度，贴合分片作业现状，可操作性极强。 2、（4，7] 分：具备基础质控架构与常规管控要求，拥有基础自检流程，缺少片区差异化管控及细化整改机制，无明显质量管控漏洞。 3、[0，4] 分：质控体系架构混乱，关键工序管控措施缺失，无过程检验与整改闭环，照搬模板，无法管控施工质量。 评审备注：专家根据体系完整性、工序管控细化程度、整改闭环机制划分档位，区间内据实打分。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环境保护保障措施</w:t>
            </w:r>
          </w:p>
        </w:tc>
        <w:tc>
          <w:tcPr>
            <w:tcW w:type="dxa" w:w="2492"/>
          </w:tcPr>
          <w:p>
            <w:pPr>
              <w:pStyle w:val="null3"/>
            </w:pPr>
            <w:r>
              <w:rPr>
                <w:rFonts w:ascii="仿宋_GB2312" w:hAnsi="仿宋_GB2312" w:cs="仿宋_GB2312" w:eastAsia="仿宋_GB2312"/>
              </w:rPr>
              <w:t>1、（7，10] 分：围绕林区施工编制全套环保方案，覆盖植被保护、药剂废弃物回收、垃圾清运、林地复原、环保应急等内容，管控流程完善，落地性高。 2、（4，7] 分：环保措施覆盖主要管控要点，满足招标基本要求，内容偏通用，缺少林区专项细则与常态化环保巡查机制。 3、[0，4] 分：环保内容空洞模板化，未结合项目实际，核心环保措施缺失，方案存在明显缺陷，达不到环保施工标准。 评审备注：专家结合方案适配度、环保举措落地性、应急方案完备度划分区间，区间内据实打分。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施工进度及服务周期保障</w:t>
            </w:r>
          </w:p>
        </w:tc>
        <w:tc>
          <w:tcPr>
            <w:tcW w:type="dxa" w:w="2492"/>
          </w:tcPr>
          <w:p>
            <w:pPr>
              <w:pStyle w:val="null3"/>
            </w:pPr>
            <w:r>
              <w:rPr>
                <w:rFonts w:ascii="仿宋_GB2312" w:hAnsi="仿宋_GB2312" w:cs="仿宋_GB2312" w:eastAsia="仿宋_GB2312"/>
              </w:rPr>
              <w:t>1、（7，10] 分：工期排布匹配招标要求，各工序衔接有序，配备人机调配、雨天补救、进度预警、滞后处置方案，进度计划落地可靠。 2、（4，7] 分：设有总体工期与分段计划，工序逻辑无误，进度保障措施简略，缺少工程量匹配的细化排班与工期补救方案。 3、[0，4] 分：仅标注总工期，无工序排布与任何进度保障措施，无实质内容，难以按期完成服务工作。 评审备注：专家依据周期合规性、工序衔接、进度措施实操性划定区间，区间内据实打分。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项目专项服务小组组织架构配置</w:t>
            </w:r>
          </w:p>
        </w:tc>
        <w:tc>
          <w:tcPr>
            <w:tcW w:type="dxa" w:w="2492"/>
          </w:tcPr>
          <w:p>
            <w:pPr>
              <w:pStyle w:val="null3"/>
            </w:pPr>
            <w:r>
              <w:rPr>
                <w:rFonts w:ascii="仿宋_GB2312" w:hAnsi="仿宋_GB2312" w:cs="仿宋_GB2312" w:eastAsia="仿宋_GB2312"/>
              </w:rPr>
              <w:t>1、（3，5] 分：项目组织岗位齐全、权责划分清晰，人员资质配置优良，考勤、考核、值守等内部管理制度完善，适配分片施工管理。 2、（2，3] 分：具备基础组织框架与岗位职责，人员配置满足最低施工需求，管理制度仅有常规条款，缺少林区针对性管理细则。 3、[0，2] 分：组织机构表述模糊，岗位、人员安排混乱，管理制度空洞无实质约束效力，无法管控现场人员作业。 评审备注：专家按照架构完整性、权责清晰度、人员实力、管理制度完善度划分区间，区间内据实打分。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委员会只对实质性审查合格的投标文件进行价格评议，报价分采用低价优先法计算，即满足招标文件要求且投标价格（落实政府采购政策进行价格调整的，以调整后的价格计算）最低的投标报价为评标基准价，其价格分为满分。其他供应商的价格分按照下列公式计算：报价得分=(评标基准价／投标报价)×30 经评委一致认定，供应商的投标总报价低于公认市场成本，或超过最高限价，其投标将被拒绝。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提供1份得2分，最高得10分。 注：项目业绩指2023年08月24日及以后类似项目业绩，以合同签订时间为准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人员配备与资质</w:t>
            </w:r>
          </w:p>
        </w:tc>
        <w:tc>
          <w:tcPr>
            <w:tcW w:type="dxa" w:w="2492"/>
          </w:tcPr>
          <w:p>
            <w:pPr>
              <w:pStyle w:val="null3"/>
            </w:pPr>
            <w:r>
              <w:rPr>
                <w:rFonts w:ascii="仿宋_GB2312" w:hAnsi="仿宋_GB2312" w:cs="仿宋_GB2312" w:eastAsia="仿宋_GB2312"/>
              </w:rPr>
              <w:t>1. 项目负责人资质（3分）： （1）持有林业类高级职称证书，得 3 分 （2）持有林业类中级职称证书，得 2 分 （3）持有林业类初级职称证书，得 1 分 （4）无有效证书，得 0 分 2. 团队专业配置（7分）： 团队内每有一人持有林业类高级职称证书得3分，每有一人持有林业类中级职称证书得2分，每有一人持有林业类初级职称证书得1分，本项最高7分。 须附上项目组全部人员身份证、职称证书扫描件，证书造假、人员无法核验的直接本项清零。项目负责人业绩指2023年8月24日以来类似项目业绩，以合同签订时间为准。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1、（12，15] 分：方案贴合本项目现场需求，内容完整详实，精准梳理施工重难点并给出落地解决方案，进度规划分层细化，整体科学性、可实施性强。 2、（8，12] 分：方案内容完整，可识别部分重难点并给出处置措施，进度计划合理，整体符合项目基本要求，本地化匹配度一般。 3、（4，8] 分：方案框架完整，多为通用模板，重难点分析浅显，进度仅有总工期无细分安排，仅可满足基础施工需求。 4、[0，4] 分：方案缺漏关键施工内容，无重难点分析与有效进度计划，工艺不符合规范，无法指导现场施工。 评审备注：专家依据方案完整度、重难点处置有效性、进度规划合理性划定区间，区间内据实打分。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质量控制、保证体系及措施</w:t>
            </w:r>
          </w:p>
        </w:tc>
        <w:tc>
          <w:tcPr>
            <w:tcW w:type="dxa" w:w="2492"/>
          </w:tcPr>
          <w:p>
            <w:pPr>
              <w:pStyle w:val="null3"/>
            </w:pPr>
            <w:r>
              <w:rPr>
                <w:rFonts w:ascii="仿宋_GB2312" w:hAnsi="仿宋_GB2312" w:cs="仿宋_GB2312" w:eastAsia="仿宋_GB2312"/>
              </w:rPr>
              <w:t>1、（7，10] 分：建立自检、复检、抽检三级质控体系，各工序管控措施精细化，配套巡查、抽检、问题整改闭环制度，贴合分片作业现状，可操作性极强。 2、（4，7] 分：具备基础质控架构与常规管控要求，拥有基础自检流程，缺少片区差异化管控及细化整改机制，无明显质量管控漏洞。 3、[0，4] 分：质控体系架构混乱，关键工序管控措施缺失，无过程检验与整改闭环，照搬模板，无法管控施工质量。 评审备注：专家根据体系完整性、工序管控细化程度、整改闭环机制划分档位，区间内据实打分。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环境保护保障措施</w:t>
            </w:r>
          </w:p>
        </w:tc>
        <w:tc>
          <w:tcPr>
            <w:tcW w:type="dxa" w:w="2492"/>
          </w:tcPr>
          <w:p>
            <w:pPr>
              <w:pStyle w:val="null3"/>
            </w:pPr>
            <w:r>
              <w:rPr>
                <w:rFonts w:ascii="仿宋_GB2312" w:hAnsi="仿宋_GB2312" w:cs="仿宋_GB2312" w:eastAsia="仿宋_GB2312"/>
              </w:rPr>
              <w:t>1、（7，10] 分：围绕林区施工编制全套环保方案，覆盖植被保护、药剂废弃物回收、垃圾清运、林地复原、环保应急等内容，管控流程完善，落地性高。 2、（4，7] 分：环保措施覆盖主要管控要点，满足招标基本要求，内容偏通用，缺少林区专项细则与常态化环保巡查机制。 3、[0，4] 分：环保内容空洞模板化，未结合项目实际，核心环保措施缺失，方案存在明显缺陷，达不到环保施工标准。 评审备注：专家结合方案适配度、环保举措落地性、应急方案完备度划分区间，区间内据实打分。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施工进度及服务周期保障</w:t>
            </w:r>
          </w:p>
        </w:tc>
        <w:tc>
          <w:tcPr>
            <w:tcW w:type="dxa" w:w="2492"/>
          </w:tcPr>
          <w:p>
            <w:pPr>
              <w:pStyle w:val="null3"/>
            </w:pPr>
            <w:r>
              <w:rPr>
                <w:rFonts w:ascii="仿宋_GB2312" w:hAnsi="仿宋_GB2312" w:cs="仿宋_GB2312" w:eastAsia="仿宋_GB2312"/>
              </w:rPr>
              <w:t>1、（7，10] 分：工期排布匹配招标要求，各工序衔接有序，配备人机调配、雨天补救、进度预警、滞后处置方案，进度计划落地可靠。 2、（4，7] 分：设有总体工期与分段计划，工序逻辑无误，进度保障措施简略，缺少工程量匹配的细化排班与工期补救方案。 3、[0，4] 分：仅标注总工期，无工序排布与任何进度保障措施，无实质内容，难以按期完成服务工作。 评审备注：专家依据周期合规性、工序衔接、进度措施实操性划定区间，区间内据实打分。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项目专项服务小组组织架构配置</w:t>
            </w:r>
          </w:p>
        </w:tc>
        <w:tc>
          <w:tcPr>
            <w:tcW w:type="dxa" w:w="2492"/>
          </w:tcPr>
          <w:p>
            <w:pPr>
              <w:pStyle w:val="null3"/>
            </w:pPr>
            <w:r>
              <w:rPr>
                <w:rFonts w:ascii="仿宋_GB2312" w:hAnsi="仿宋_GB2312" w:cs="仿宋_GB2312" w:eastAsia="仿宋_GB2312"/>
              </w:rPr>
              <w:t>1、（3，5] 分：项目组织岗位齐全、权责划分清晰，人员资质配置优良，考勤、考核、值守等内部管理制度完善，适配分片施工管理。 2、（2，3] 分：具备基础组织框架与岗位职责，人员配置满足最低施工需求，管理制度仅有常规条款，缺少林区针对性管理细则。 3、[0，2] 分：组织机构表述模糊，岗位、人员安排混乱，管理制度空洞无实质约束效力，无法管控现场人员作业。 评审备注：专家按照架构完整性、权责清晰度、人员实力、管理制度完善度划分区间，区间内据实打分。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委员会只对实质性审查合格的投标文件进行价格评议，报价分采用低价优先法计算，即满足招标文件要求且投标价格（落实政府采购政策进行价格调整的，以调整后的价格计算）最低的投标报价为评标基准价，其价格分为满分。其他供应商的价格分按照下列公式计算：报价得分=(评标基准价／投标报价)×30 经评委一致认定，供应商的投标总报价低于公认市场成本，或超过最高限价，其投标将被拒绝。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提供1份得2分，最高得10分。 注：项目业绩指2023年08月24日及以后类似项目业绩，以合同签订时间为准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人员配备与资质</w:t>
            </w:r>
          </w:p>
        </w:tc>
        <w:tc>
          <w:tcPr>
            <w:tcW w:type="dxa" w:w="2492"/>
          </w:tcPr>
          <w:p>
            <w:pPr>
              <w:pStyle w:val="null3"/>
            </w:pPr>
            <w:r>
              <w:rPr>
                <w:rFonts w:ascii="仿宋_GB2312" w:hAnsi="仿宋_GB2312" w:cs="仿宋_GB2312" w:eastAsia="仿宋_GB2312"/>
              </w:rPr>
              <w:t>1. 项目负责人资质（3分）： （1）持有林业类高级职称证书，得 3 分 （2）持有林业类中级职称证书，得 2 分 （3）持有林业类初级职称证书，得 1 分 （4）无有效证书，得 0 分 2. 团队专业配置（7分）： 团队内每有一人持有林业类高级职称证书得3分，每有一人持有林业类中级职称证书得2分，每有一人持有林业类初级职称证书得1分，本项最高7分。 须附上项目组全部人员身份证、职称证书扫描件，证书造假、人员无法核验的直接本项清零。项目负责人业绩指2023年8月24日以来类似项目业绩，以合同签订时间为准。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1、（12，15] 分：方案贴合本项目现场需求，内容完整详实，精准梳理施工重难点并给出落地解决方案，进度规划分层细化，整体科学性、可实施性强。 2、（8，12] 分：方案内容完整，可识别部分重难点并给出处置措施，进度计划合理，整体符合项目基本要求，本地化匹配度一般。 3、（4，8] 分：方案框架完整，多为通用模板，重难点分析浅显，进度仅有总工期无细分安排，仅可满足基础施工需求。 4、[0，4] 分：方案缺漏关键施工内容，无重难点分析与有效进度计划，工艺不符合规范，无法指导现场施工。 评审备注：专家依据方案完整度、重难点处置有效性、进度规划合理性划定区间，区间内据实打分。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质量控制、保证体系及措施</w:t>
            </w:r>
          </w:p>
        </w:tc>
        <w:tc>
          <w:tcPr>
            <w:tcW w:type="dxa" w:w="2492"/>
          </w:tcPr>
          <w:p>
            <w:pPr>
              <w:pStyle w:val="null3"/>
            </w:pPr>
            <w:r>
              <w:rPr>
                <w:rFonts w:ascii="仿宋_GB2312" w:hAnsi="仿宋_GB2312" w:cs="仿宋_GB2312" w:eastAsia="仿宋_GB2312"/>
              </w:rPr>
              <w:t>1、（7，10] 分：建立自检、复检、抽检三级质控体系，各工序管控措施精细化，配套巡查、抽检、问题整改闭环制度，贴合分片作业现状，可操作性极强。 2、（4，7] 分：具备基础质控架构与常规管控要求，拥有基础自检流程，缺少片区差异化管控及细化整改机制，无明显质量管控漏洞。 3、[0，4] 分：质控体系架构混乱，关键工序管控措施缺失，无过程检验与整改闭环，照搬模板，无法管控施工质量。 评审备注：专家根据体系完整性、工序管控细化程度、整改闭环机制划分档位，区间内据实打分。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环境保护保障措施</w:t>
            </w:r>
          </w:p>
        </w:tc>
        <w:tc>
          <w:tcPr>
            <w:tcW w:type="dxa" w:w="2492"/>
          </w:tcPr>
          <w:p>
            <w:pPr>
              <w:pStyle w:val="null3"/>
            </w:pPr>
            <w:r>
              <w:rPr>
                <w:rFonts w:ascii="仿宋_GB2312" w:hAnsi="仿宋_GB2312" w:cs="仿宋_GB2312" w:eastAsia="仿宋_GB2312"/>
              </w:rPr>
              <w:t>1、（7，10] 分：围绕林区施工编制全套环保方案，覆盖植被保护、药剂废弃物回收、垃圾清运、林地复原、环保应急等内容，管控流程完善，落地性高。 2、（4，7] 分：环保措施覆盖主要管控要点，满足招标基本要求，内容偏通用，缺少林区专项细则与常态化环保巡查机制。 3、[0，4] 分：环保内容空洞模板化，未结合项目实际，核心环保措施缺失，方案存在明显缺陷，达不到环保施工标准。 评审备注：专家结合方案适配度、环保举措落地性、应急方案完备度划分区间，区间内据实打分。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施工进度及服务周期保障</w:t>
            </w:r>
          </w:p>
        </w:tc>
        <w:tc>
          <w:tcPr>
            <w:tcW w:type="dxa" w:w="2492"/>
          </w:tcPr>
          <w:p>
            <w:pPr>
              <w:pStyle w:val="null3"/>
            </w:pPr>
            <w:r>
              <w:rPr>
                <w:rFonts w:ascii="仿宋_GB2312" w:hAnsi="仿宋_GB2312" w:cs="仿宋_GB2312" w:eastAsia="仿宋_GB2312"/>
              </w:rPr>
              <w:t>1、（7，10] 分：工期排布匹配招标要求，各工序衔接有序，配备人机调配、雨天补救、进度预警、滞后处置方案，进度计划落地可靠。 2、（4，7] 分：设有总体工期与分段计划，工序逻辑无误，进度保障措施简略，缺少工程量匹配的细化排班与工期补救方案。 3、[0，4] 分：仅标注总工期，无工序排布与任何进度保障措施，无实质内容，难以按期完成服务工作。 评审备注：专家依据周期合规性、工序衔接、进度措施实操性划定区间，区间内据实打分。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项目专项服务小组组织架构配置</w:t>
            </w:r>
          </w:p>
        </w:tc>
        <w:tc>
          <w:tcPr>
            <w:tcW w:type="dxa" w:w="2492"/>
          </w:tcPr>
          <w:p>
            <w:pPr>
              <w:pStyle w:val="null3"/>
            </w:pPr>
            <w:r>
              <w:rPr>
                <w:rFonts w:ascii="仿宋_GB2312" w:hAnsi="仿宋_GB2312" w:cs="仿宋_GB2312" w:eastAsia="仿宋_GB2312"/>
              </w:rPr>
              <w:t>1、（3，5] 分：项目组织岗位齐全、权责划分清晰，人员资质配置优良，考勤、考核、值守等内部管理制度完善，适配分片施工管理。 2、（2，3] 分：具备基础组织框架与岗位职责，人员配置满足最低施工需求，管理制度仅有常规条款，缺少林区针对性管理细则。 3、[0，2] 分：组织机构表述模糊，岗位、人员安排混乱，管理制度空洞无实质约束效力，无法管控现场人员作业。 评审备注：专家按照架构完整性、权责清晰度、人员实力、管理制度完善度划分区间，区间内据实打分。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委员会只对实质性审查合格的投标文件进行价格评议，报价分采用低价优先法计算，即满足招标文件要求且投标价格（落实政府采购政策进行价格调整的，以调整后的价格计算）最低的投标报价为评标基准价，其价格分为满分。其他供应商的价格分按照下列公式计算：报价得分=(评标基准价／投标报价)×30 经评委一致认定，供应商的投标总报价低于公认市场成本，或超过最高限价，其投标将被拒绝。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提供1份得2分，最高得10分。 注：项目业绩指2023年08月24日及以后类似项目业绩，以合同签订时间为准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人员配备与资质</w:t>
            </w:r>
          </w:p>
        </w:tc>
        <w:tc>
          <w:tcPr>
            <w:tcW w:type="dxa" w:w="2492"/>
          </w:tcPr>
          <w:p>
            <w:pPr>
              <w:pStyle w:val="null3"/>
            </w:pPr>
            <w:r>
              <w:rPr>
                <w:rFonts w:ascii="仿宋_GB2312" w:hAnsi="仿宋_GB2312" w:cs="仿宋_GB2312" w:eastAsia="仿宋_GB2312"/>
              </w:rPr>
              <w:t>1. 项目负责人资质（3分）： （1）持有林业类高级职称证书，得 3 分 （2）持有林业类中级职称证书，得 2 分 （3）持有林业类初级职称证书，得 1 分 （4）无有效证书，得 0 分 2. 团队专业配置（7分）： 团队内每有一人持有林业类高级职称证书得3分，每有一人持有林业类中级职称证书得2分，每有一人持有林业类初级职称证书得1分，本项最高7分。 须附上项目组全部人员身份证、职称证书扫描件，证书造假、人员无法核验的直接本项清零。项目负责人业绩指2023年8月24日以来类似项目业绩，以合同签订时间为准。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1、（12，15] 分：方案贴合本项目现场需求，内容完整详实，精准梳理施工重难点并给出落地解决方案，进度规划分层细化，整体科学性、可实施性强。 2、（8，12] 分：方案内容完整，可识别部分重难点并给出处置措施，进度计划合理，整体符合项目基本要求，本地化匹配度一般。 3、（4，8] 分：方案框架完整，多为通用模板，重难点分析浅显，进度仅有总工期无细分安排，仅可满足基础施工需求。 4、[0，4] 分：方案缺漏关键施工内容，无重难点分析与有效进度计划，工艺不符合规范，无法指导现场施工。 评审备注：专家依据方案完整度、重难点处置有效性、进度规划合理性划定区间，区间内据实打分。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质量控制、保证体系及措施</w:t>
            </w:r>
          </w:p>
        </w:tc>
        <w:tc>
          <w:tcPr>
            <w:tcW w:type="dxa" w:w="2492"/>
          </w:tcPr>
          <w:p>
            <w:pPr>
              <w:pStyle w:val="null3"/>
            </w:pPr>
            <w:r>
              <w:rPr>
                <w:rFonts w:ascii="仿宋_GB2312" w:hAnsi="仿宋_GB2312" w:cs="仿宋_GB2312" w:eastAsia="仿宋_GB2312"/>
              </w:rPr>
              <w:t>1、（7，10] 分：建立自检、复检、抽检三级质控体系，各工序管控措施精细化，配套巡查、抽检、问题整改闭环制度，贴合分片作业现状，可操作性极强。 2、（4，7] 分：具备基础质控架构与常规管控要求，拥有基础自检流程，缺少片区差异化管控及细化整改机制，无明显质量管控漏洞。 3、[0，4] 分：质控体系架构混乱，关键工序管控措施缺失，无过程检验与整改闭环，照搬模板，无法管控施工质量。 评审备注：专家根据体系完整性、工序管控细化程度、整改闭环机制划分档位，区间内据实打分。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环境保护保障措施</w:t>
            </w:r>
          </w:p>
        </w:tc>
        <w:tc>
          <w:tcPr>
            <w:tcW w:type="dxa" w:w="2492"/>
          </w:tcPr>
          <w:p>
            <w:pPr>
              <w:pStyle w:val="null3"/>
            </w:pPr>
            <w:r>
              <w:rPr>
                <w:rFonts w:ascii="仿宋_GB2312" w:hAnsi="仿宋_GB2312" w:cs="仿宋_GB2312" w:eastAsia="仿宋_GB2312"/>
              </w:rPr>
              <w:t>1、（7，10] 分：围绕林区施工编制全套环保方案，覆盖植被保护、药剂废弃物回收、垃圾清运、林地复原、环保应急等内容，管控流程完善，落地性高。 2、（4，7] 分：环保措施覆盖主要管控要点，满足招标基本要求，内容偏通用，缺少林区专项细则与常态化环保巡查机制。 3、[0，4] 分：环保内容空洞模板化，未结合项目实际，核心环保措施缺失，方案存在明显缺陷，达不到环保施工标准。 评审备注：专家结合方案适配度、环保举措落地性、应急方案完备度划分区间，区间内据实打分。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施工进度及服务周期保障</w:t>
            </w:r>
          </w:p>
        </w:tc>
        <w:tc>
          <w:tcPr>
            <w:tcW w:type="dxa" w:w="2492"/>
          </w:tcPr>
          <w:p>
            <w:pPr>
              <w:pStyle w:val="null3"/>
            </w:pPr>
            <w:r>
              <w:rPr>
                <w:rFonts w:ascii="仿宋_GB2312" w:hAnsi="仿宋_GB2312" w:cs="仿宋_GB2312" w:eastAsia="仿宋_GB2312"/>
              </w:rPr>
              <w:t>1、（7，10] 分：工期排布匹配招标要求，各工序衔接有序，配备人机调配、雨天补救、进度预警、滞后处置方案，进度计划落地可靠。 2、（4，7] 分：设有总体工期与分段计划，工序逻辑无误，进度保障措施简略，缺少工程量匹配的细化排班与工期补救方案。 3、[0，4] 分：仅标注总工期，无工序排布与任何进度保障措施，无实质内容，难以按期完成服务工作。 评审备注：专家依据周期合规性、工序衔接、进度措施实操性划定区间，区间内据实打分。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项目专项服务小组组织架构配置</w:t>
            </w:r>
          </w:p>
        </w:tc>
        <w:tc>
          <w:tcPr>
            <w:tcW w:type="dxa" w:w="2492"/>
          </w:tcPr>
          <w:p>
            <w:pPr>
              <w:pStyle w:val="null3"/>
            </w:pPr>
            <w:r>
              <w:rPr>
                <w:rFonts w:ascii="仿宋_GB2312" w:hAnsi="仿宋_GB2312" w:cs="仿宋_GB2312" w:eastAsia="仿宋_GB2312"/>
              </w:rPr>
              <w:t>1、（3，5] 分：项目组织岗位齐全、权责划分清晰，人员资质配置优良，考勤、考核、值守等内部管理制度完善，适配分片施工管理。 2、（2，3] 分：具备基础组织框架与岗位职责，人员配置满足最低施工需求，管理制度仅有常规条款，缺少林区针对性管理细则。 3、[0，2] 分：组织机构表述模糊，岗位、人员安排混乱，管理制度空洞无实质约束效力，无法管控现场人员作业。 评审备注：专家按照架构完整性、权责清晰度、人员实力、管理制度完善度划分区间，区间内据实打分。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委员会只对实质性审查合格的投标文件进行价格评议，报价分采用低价优先法计算，即满足招标文件要求且投标价格（落实政府采购政策进行价格调整的，以调整后的价格计算）最低的投标报价为评标基准价，其价格分为满分。其他供应商的价格分按照下列公式计算：报价得分=(评标基准价／投标报价)×30 经评委一致认定，供应商的投标总报价低于公认市场成本，或超过最高限价，其投标将被拒绝。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