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版本号：0617-2612FZ233720260904001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2026年度省级社会组织党校运营管理项目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0617-2612FZ2337</w:t>
      </w:r>
      <w:r>
        <w:br/>
      </w:r>
      <w:r>
        <w:br/>
      </w:r>
      <w:r>
        <w:br/>
      </w:r>
    </w:p>
    <w:p>
      <w:pPr>
        <w:pStyle w:val="null3"/>
        <w:jc w:val="center"/>
        <w:outlineLvl w:val="5"/>
      </w:pPr>
      <w:r>
        <w:rPr>
          <w:rFonts w:ascii="仿宋_GB2312" w:hAnsi="仿宋_GB2312" w:cs="仿宋_GB2312" w:eastAsia="仿宋_GB2312"/>
          <w:sz w:val="15"/>
          <w:b/>
        </w:rPr>
        <w:t>陕西省民政厅机关</w:t>
      </w:r>
    </w:p>
    <w:p>
      <w:pPr>
        <w:pStyle w:val="null3"/>
        <w:jc w:val="center"/>
        <w:outlineLvl w:val="5"/>
      </w:pPr>
      <w:r>
        <w:rPr>
          <w:rFonts w:ascii="仿宋_GB2312" w:hAnsi="仿宋_GB2312" w:cs="仿宋_GB2312" w:eastAsia="仿宋_GB2312"/>
          <w:sz w:val="15"/>
          <w:b/>
        </w:rPr>
        <w:t>西北(陕西)国际招标有限公司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2026年度省级社会组织党校运营管理项目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0617-2612FZ2337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2026年度省级社会组织党校运营管理项目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委托第三方管理陕西省民政厅社会组织党校建设、日常运营、开展培训等工作。</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029-63917484</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张越、唐丽娜、衣冯源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029-85222242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代理服务费收费标准：固定金额5000元</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采购人享有使用权。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采购文件和响应文件。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联系人：代理机构综合监督处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委托第三方管理陕西省民政厅社会组织党校建设、日常运营、开展培训等工作。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2026年度省级社会组织党校运营管理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标的名称：2026年度省级社会组织党校运营管理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负责党校日常运营工作及现有的设备的维护、保养，对宣传展示内容更新更换，保证正常高效运转；做好日常维护更新、对外交流展示、参观考察接待等工作。</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完善工作机制。开展“五支队伍”培训轮训，制定并组织培训计划，培训人员累计1000人次以上。聚焦厅管无党员社会组织党建工作需求，按需开展指导服务工作。</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开展社会组织党建工作宣传，在省部级以上媒体刊物针对性宣传不少于2期次。探索以社会组织观察形式反映工作动态。</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承担社会组织领域主题教育活动培训工作，每季度举办一次党建公开课；围绕“党建引领社会组织高质量发展”、“社会组织党建质量提升”等课题，年内至少开展一次主题调研活动，提交一份调研报告。</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协助社会组织党建重大会议活动，配合搞好专项调查统计工作。</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配备不少于2名工作人员</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具有满足项目实施的人员配置。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具有满足项目实施的设施设备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其他，合同签订后，达到付款条件起22个工作日内，支付合同总金额的100.0%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采购文件、响应文件。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采购需求的，采购单位有权终止合同，并对供方违约行为进行追究。（3）解决争议的方法：甲乙双方在履行合同中如果发生争议，应协商解决，协商不成的，任何一方均有权向甲方所在地有管辖权的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说明：因系统设置原因，支付约定应为：合同签订后，达到付款条件起30日内，支付合同总金额的100.00%。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1.供应商需在项目电子化交易系统中按要求填写《响应函》完成承诺并进行电子签章。 2.具有独立承担民事责任的能力。提供注册登记凭证（营业执照、其他组织经营的合法凭证，自然人的提供身份证明文件） 3.具有良好的商业信誉和健全的财务会计制度。提供经审计的2025年度（包括四表一注，即资产负债表、利润表、现金流量表、所有者权益变动表及其附注），且无反对意见；事业法人提供部门决算报告；/或在响应文件递交截止日期前六个月内其基本账户开户银行出具的资信证明（附基本存款账户信息等证明材料）；/或专业担保机构出具的投标担保函；/或表明具有良好的商业信誉和健全的财务会计制度的诚信声明；以上四种形式的资料提供任何一种即可。 4.具有履行合同所必需的设备和专业技术能力。提供声明文件。 5.具有依法缴纳税收的良好记录。提供缴费所属日期为响应文件递交截止时间前3个月内任一月（响应文件递交截止时间当月不计入）的缴费凭据（企业及营利性组织投标的提供增值税及企业所得税；非营利性组织及自然人投标的提供纳税记录）或税务机关出具的完税证明（企业及营利性组织完税证明中须含增值税及所得税）（在法规范围内不需提供的应出具书面说明和证明文件）；/或具有依法缴纳税收的诚信声明；以上二种形式的资料提供任何一种即可。 6.具有依法缴纳社会保障资金的良好记录。提供缴费所属日期为响应文件递交截止时间前3个月内任一月份（响应文件递交截止时间当月不计入）的缴费凭据或社保机关出具的缴费证明（在法规范围内不需提供的应出具书面说明和证明文件）；/或具有依法缴纳社会保障资金的缴纳记录的诚信声明；以上二种形式的资料提供任何一种即可。 7.参加政府采购活动前3年内在经营活动中没有重大违法记录的书面声明。提供书面声明。 8.非法定代表人参加响应的，须提供法定代表人身份证明、法定代表人委托授权书、授权代表在供应商单位缴纳的社保记录（近3个月内）；法定代表人参加响应时,只需提法定代表人身份证明。 以上要求，供应商需在项目电子化交易系统中按要求上传相应证明文件并进行电子签章。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1、供应商按照采购文件要求上传响应文件；2、响应文件是否按照采购文件要求的格式编写。</w:t>
            </w:r>
          </w:p>
        </w:tc>
        <w:tc>
          <w:tcPr>
            <w:tcW w:type="dxa" w:w="1661"/>
          </w:tcPr>
          <w:p>
            <w:pPr>
              <w:pStyle w:val="null3"/>
            </w:pPr>
            <w:r>
              <w:rPr>
                <w:rFonts w:ascii="仿宋_GB2312" w:hAnsi="仿宋_GB2312" w:cs="仿宋_GB2312" w:eastAsia="仿宋_GB2312"/>
              </w:rPr>
              <w:t>响应文件封面 服务方案 标的清单 报价表 服务要求和商务要求响应表 响应函 同类项目业绩</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1、供应商按照采购文件要求上传响应文件；2、响应文件的签署、加盖印章是否有效；提供的各种证明文件、数据、资料是否有效。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服务方案 标的清单 报价表 服务要求和商务要求响应表 响应函 同类项目业绩</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1、供应商按照采购文件要求上传响应文件；2、报价是否超过采购预算；报价有效期是否符合采购文件要求；响应内容是否符合国家法律法规。</w:t>
            </w:r>
          </w:p>
        </w:tc>
        <w:tc>
          <w:tcPr>
            <w:tcW w:type="dxa" w:w="1661"/>
          </w:tcPr>
          <w:p>
            <w:pPr>
              <w:pStyle w:val="null3"/>
            </w:pPr>
            <w:r>
              <w:rPr>
                <w:rFonts w:ascii="仿宋_GB2312" w:hAnsi="仿宋_GB2312" w:cs="仿宋_GB2312" w:eastAsia="仿宋_GB2312"/>
              </w:rPr>
              <w:t>响应文件封面 服务方案 标的清单 报价表 服务要求和商务要求响应表 响应函 同类项目业绩</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详见附件：服务要求和商务要求响应表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详见附件：同类项目业绩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