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版本号：LZBE2026-691（XDZ2026-122-N-64）20260622001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2026-2027年度社保、医保电话座席和微信公众号服务项目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LZBE2026-691（XDZ2026-122-N-64）</w:t>
      </w:r>
      <w:r>
        <w:br/>
      </w:r>
      <w:r>
        <w:br/>
      </w:r>
      <w:r>
        <w:br/>
      </w:r>
    </w:p>
    <w:p>
      <w:pPr>
        <w:pStyle w:val="null3"/>
        <w:jc w:val="center"/>
        <w:outlineLvl w:val="2"/>
      </w:pPr>
      <w:r>
        <w:rPr>
          <w:rFonts w:ascii="仿宋_GB2312" w:hAnsi="仿宋_GB2312" w:cs="仿宋_GB2312" w:eastAsia="仿宋_GB2312"/>
          <w:sz w:val="28"/>
          <w:b/>
        </w:rPr>
        <w:t>西安高新技术产业开发区社会事业服务局</w:t>
      </w:r>
    </w:p>
    <w:p>
      <w:pPr>
        <w:pStyle w:val="null3"/>
        <w:jc w:val="center"/>
        <w:outlineLvl w:val="2"/>
      </w:pPr>
      <w:r>
        <w:rPr>
          <w:rFonts w:ascii="仿宋_GB2312" w:hAnsi="仿宋_GB2312" w:cs="仿宋_GB2312" w:eastAsia="仿宋_GB2312"/>
          <w:sz w:val="28"/>
          <w:b/>
        </w:rPr>
        <w:t>龙寰项目管理咨询有限公司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龙寰项目管理咨询有限公司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西安高新技术产业开发区社会事业服务局</w:t>
      </w:r>
      <w:r>
        <w:rPr>
          <w:rFonts w:ascii="仿宋_GB2312" w:hAnsi="仿宋_GB2312" w:cs="仿宋_GB2312" w:eastAsia="仿宋_GB2312"/>
        </w:rPr>
        <w:t>委托，拟对</w:t>
      </w:r>
      <w:r>
        <w:rPr>
          <w:rFonts w:ascii="仿宋_GB2312" w:hAnsi="仿宋_GB2312" w:cs="仿宋_GB2312" w:eastAsia="仿宋_GB2312"/>
        </w:rPr>
        <w:t>2026-2027年度社保、医保电话座席和微信公众号服务项目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LZBE2026-691（XDZ2026-122-N-64）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2026-2027年度社保、医保电话座席和微信公众号服务项目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2026-2027年度社保、医保电话座席和微信公众号服务项目1项，详见采购文件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采购包1（2026-2027年度社保、医保电话座席和微信公众号服务项目）：属于专门面向中小企业采购。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具有独立承担民事责任能力的法人、其他组织或自然人：法人或者其他组织提供营业执照等证明文件，自然人提供身份证件，供应商需在项目电子化交易系统中按要求上传相应证明文件并进行电子签章；</w:t>
      </w:r>
    </w:p>
    <w:p>
      <w:pPr>
        <w:pStyle w:val="null3"/>
      </w:pPr>
      <w:r>
        <w:rPr>
          <w:rFonts w:ascii="仿宋_GB2312" w:hAnsi="仿宋_GB2312" w:cs="仿宋_GB2312" w:eastAsia="仿宋_GB2312"/>
        </w:rPr>
        <w:t>2、税收缴纳凭证及社会保险缴纳的凭证：税收缴纳凭证及社会保险缴纳的凭证：供应商在本项目投标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或提供《基本资格条件承诺函》；供应商需在项目电子化交易系统中按要求上传相应证明文件；</w:t>
      </w:r>
    </w:p>
    <w:p>
      <w:pPr>
        <w:pStyle w:val="null3"/>
      </w:pPr>
      <w:r>
        <w:rPr>
          <w:rFonts w:ascii="仿宋_GB2312" w:hAnsi="仿宋_GB2312" w:cs="仿宋_GB2312" w:eastAsia="仿宋_GB2312"/>
        </w:rPr>
        <w:t>3、财务状况报告：财务状况报告：供应商提供2025年度经审计的财务审计报告（事业法人可提供部门决算报告），经审计的财务报告应满足以下要求：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或提供供应商基本账户银行出具的递交投标文件截止时间前六个月内的资信证明及供应商基本存款账户开户许可证（或基本存款账户信息））或提供专业担保机构出具的投标担保函；或提供《基本资格条件承诺函》；供应商需在项目电子化交易系统中按要求上传相应证明文件；供应商需在项目电子化交易系统中按要求上传相应证明文件</w:t>
      </w:r>
    </w:p>
    <w:p>
      <w:pPr>
        <w:pStyle w:val="null3"/>
      </w:pPr>
      <w:r>
        <w:rPr>
          <w:rFonts w:ascii="仿宋_GB2312" w:hAnsi="仿宋_GB2312" w:cs="仿宋_GB2312" w:eastAsia="仿宋_GB2312"/>
        </w:rPr>
        <w:t>4、参加政府采购活动前3年内在经营活动中没有重大违法记录的书面声明； 其中：重大违法记录是指供应商因违法经营受到刑事处罚或者责令停产停业、吊销许可证或者执照、较大数额罚款等行政处罚：参加政府采购活动前3年内在经营活动中没有重大违法记录的书面声明； 其中：重大违法记录是指供应商因违法经营受到刑事处罚或者责令停产停业、吊销许可证或者执照、较大数额罚款等行政处罚。或提供《基本资格条件承诺函》；供应商需在项目电子化交易系统中按要求上传相应证明文件并进行电子签章；</w:t>
      </w:r>
    </w:p>
    <w:p>
      <w:pPr>
        <w:pStyle w:val="null3"/>
      </w:pPr>
      <w:r>
        <w:rPr>
          <w:rFonts w:ascii="仿宋_GB2312" w:hAnsi="仿宋_GB2312" w:cs="仿宋_GB2312" w:eastAsia="仿宋_GB2312"/>
        </w:rPr>
        <w:t>5、履行合同所必需的设备和专业技术能力书面声明函：具有履行合同所必需的设备和专业技术能力书面声明函：或提供《基本资格条件承诺函》；供应商需在项目电子化交易系统中按要求上传相应证明文件并进行电子签章；</w:t>
      </w:r>
    </w:p>
    <w:p>
      <w:pPr>
        <w:pStyle w:val="null3"/>
      </w:pPr>
      <w:r>
        <w:rPr>
          <w:rFonts w:ascii="仿宋_GB2312" w:hAnsi="仿宋_GB2312" w:cs="仿宋_GB2312" w:eastAsia="仿宋_GB2312"/>
        </w:rPr>
        <w:t>6、信用状况：供应商信用状况：不得为“信用中国”网站（www.creditchina.gov.cn）中列入失信被执行人和重大税收违法失信主体的供应商，不得为中国政府采购网（www.ccgp.gov.cn）政府采购严重违法失信行为记录名单中被财政部门禁止参加政府采购活动的供应商，以投标文件递交截止时间后的网站查询记录为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西安高新技术产业开发区社会事业服务局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高新区锦业路1号都市之门A座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薛老师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 8115 5739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龙寰项目管理咨询有限公司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西安市太白南路181号西部电子社区A座A区501室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吴岳、陈钊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029-88228899转652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丁丽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采购包1：2,060,000.00元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收费按差额定率累进法计算，具体收费标准参照计价格[2002]1980号、发改价格[2011]534号、发改办价格〔2003〕857号中服务类执行。中标人在取得中标通知书前，向采购代理机构交纳招标代理服务费。招标代理服务费以转账形式交纳至如下指定账户： 开户名称：龙寰项目管理咨询有限公司 开户行名称：平安银行西安高新路支行、 账号：30201278018736</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西安高新技术产业开发区社会事业服务局</w:t>
      </w:r>
      <w:r>
        <w:rPr>
          <w:rFonts w:ascii="仿宋_GB2312" w:hAnsi="仿宋_GB2312" w:cs="仿宋_GB2312" w:eastAsia="仿宋_GB2312"/>
        </w:rPr>
        <w:t>和</w:t>
      </w:r>
      <w:r>
        <w:rPr>
          <w:rFonts w:ascii="仿宋_GB2312" w:hAnsi="仿宋_GB2312" w:cs="仿宋_GB2312" w:eastAsia="仿宋_GB2312"/>
        </w:rPr>
        <w:t>龙寰项目管理咨询有限公司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西安高新技术产业开发区社会事业服务局</w:t>
      </w:r>
      <w:r>
        <w:rPr>
          <w:rFonts w:ascii="仿宋_GB2312" w:hAnsi="仿宋_GB2312" w:cs="仿宋_GB2312" w:eastAsia="仿宋_GB2312"/>
        </w:rPr>
        <w:t>负责解释。除上述招标文件内容，其他内容由</w:t>
      </w:r>
      <w:r>
        <w:rPr>
          <w:rFonts w:ascii="仿宋_GB2312" w:hAnsi="仿宋_GB2312" w:cs="仿宋_GB2312" w:eastAsia="仿宋_GB2312"/>
        </w:rPr>
        <w:t>龙寰项目管理咨询有限公司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西安高新技术产业开发区社会事业服务局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龙寰项目管理咨询有限公司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以实际合同签订为准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联系人：吴岳</w:t>
      </w:r>
    </w:p>
    <w:p>
      <w:pPr>
        <w:pStyle w:val="null3"/>
      </w:pPr>
      <w:r>
        <w:rPr>
          <w:rFonts w:ascii="仿宋_GB2312" w:hAnsi="仿宋_GB2312" w:cs="仿宋_GB2312" w:eastAsia="仿宋_GB2312"/>
        </w:rPr>
        <w:t>联系电话：029-88228899转652</w:t>
      </w:r>
    </w:p>
    <w:p>
      <w:pPr>
        <w:pStyle w:val="null3"/>
      </w:pPr>
      <w:r>
        <w:rPr>
          <w:rFonts w:ascii="仿宋_GB2312" w:hAnsi="仿宋_GB2312" w:cs="仿宋_GB2312" w:eastAsia="仿宋_GB2312"/>
        </w:rPr>
        <w:t>地址：西安市太白南路181号西部电子社区A座A区501室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2026-2027年度社保、医保电话座席和微信公众号服务项目1项，详见采购文件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2,060,000.00</w:t>
      </w:r>
    </w:p>
    <w:p>
      <w:pPr>
        <w:pStyle w:val="null3"/>
      </w:pPr>
      <w:r>
        <w:rPr>
          <w:rFonts w:ascii="仿宋_GB2312" w:hAnsi="仿宋_GB2312" w:cs="仿宋_GB2312" w:eastAsia="仿宋_GB2312"/>
        </w:rPr>
        <w:t>采购包最高限价（元）: 2,060,000.00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社保、医保电话座席和微信公众号服务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2,060,000.00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标的名称：社保、医保电话座席和微信公众号服务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2"/>
            </w:pPr>
            <w:r>
              <w:rPr>
                <w:rFonts w:ascii="仿宋_GB2312" w:hAnsi="仿宋_GB2312" w:cs="仿宋_GB2312" w:eastAsia="仿宋_GB2312"/>
                <w:sz w:val="21"/>
                <w:b/>
              </w:rPr>
              <w:t>一、服务内容：</w:t>
            </w:r>
          </w:p>
          <w:p>
            <w:pPr>
              <w:pStyle w:val="null3"/>
              <w:ind w:firstLine="400"/>
            </w:pPr>
            <w:r>
              <w:rPr>
                <w:rFonts w:ascii="仿宋_GB2312" w:hAnsi="仿宋_GB2312" w:cs="仿宋_GB2312" w:eastAsia="仿宋_GB2312"/>
                <w:sz w:val="20"/>
              </w:rPr>
              <w:t>服务主要包括三个方面，即“座席电话服务”和“微信公众号运维服务”、政务大厅驻场服务。</w:t>
            </w:r>
          </w:p>
          <w:p>
            <w:pPr>
              <w:pStyle w:val="null3"/>
            </w:pPr>
            <w:r>
              <w:rPr>
                <w:rFonts w:ascii="仿宋_GB2312" w:hAnsi="仿宋_GB2312" w:cs="仿宋_GB2312" w:eastAsia="仿宋_GB2312"/>
                <w:sz w:val="20"/>
                <w:b/>
              </w:rPr>
              <w:t>（一）人员要求：</w:t>
            </w:r>
          </w:p>
          <w:p>
            <w:pPr>
              <w:pStyle w:val="null3"/>
              <w:ind w:firstLine="400"/>
            </w:pPr>
            <w:r>
              <w:rPr>
                <w:rFonts w:ascii="仿宋_GB2312" w:hAnsi="仿宋_GB2312" w:cs="仿宋_GB2312" w:eastAsia="仿宋_GB2312"/>
                <w:sz w:val="20"/>
              </w:rPr>
              <w:t>1</w:t>
            </w:r>
            <w:r>
              <w:rPr>
                <w:rFonts w:ascii="仿宋_GB2312" w:hAnsi="仿宋_GB2312" w:cs="仿宋_GB2312" w:eastAsia="仿宋_GB2312"/>
                <w:sz w:val="20"/>
              </w:rPr>
              <w:t>、人员配备</w:t>
            </w:r>
            <w:r>
              <w:rPr>
                <w:rFonts w:ascii="仿宋_GB2312" w:hAnsi="仿宋_GB2312" w:cs="仿宋_GB2312" w:eastAsia="仿宋_GB2312"/>
                <w:sz w:val="20"/>
              </w:rPr>
              <w:t>:</w:t>
            </w:r>
            <w:r>
              <w:rPr>
                <w:rFonts w:ascii="仿宋_GB2312" w:hAnsi="仿宋_GB2312" w:cs="仿宋_GB2312" w:eastAsia="仿宋_GB2312"/>
                <w:sz w:val="20"/>
              </w:rPr>
              <w:t>座席</w:t>
            </w:r>
            <w:r>
              <w:rPr>
                <w:rFonts w:ascii="仿宋_GB2312" w:hAnsi="仿宋_GB2312" w:cs="仿宋_GB2312" w:eastAsia="仿宋_GB2312"/>
                <w:sz w:val="20"/>
              </w:rPr>
              <w:t>30-40</w:t>
            </w:r>
            <w:r>
              <w:rPr>
                <w:rFonts w:ascii="仿宋_GB2312" w:hAnsi="仿宋_GB2312" w:cs="仿宋_GB2312" w:eastAsia="仿宋_GB2312"/>
                <w:sz w:val="20"/>
              </w:rPr>
              <w:t>名，</w:t>
            </w:r>
            <w:r>
              <w:rPr>
                <w:rFonts w:ascii="仿宋_GB2312" w:hAnsi="仿宋_GB2312" w:cs="仿宋_GB2312" w:eastAsia="仿宋_GB2312"/>
                <w:sz w:val="20"/>
              </w:rPr>
              <w:t>30-40</w:t>
            </w:r>
            <w:r>
              <w:rPr>
                <w:rFonts w:ascii="仿宋_GB2312" w:hAnsi="仿宋_GB2312" w:cs="仿宋_GB2312" w:eastAsia="仿宋_GB2312"/>
                <w:sz w:val="20"/>
              </w:rPr>
              <w:t>名座席人员中要求至少提供</w:t>
            </w:r>
            <w:r>
              <w:rPr>
                <w:rFonts w:ascii="仿宋_GB2312" w:hAnsi="仿宋_GB2312" w:cs="仿宋_GB2312" w:eastAsia="仿宋_GB2312"/>
                <w:sz w:val="20"/>
              </w:rPr>
              <w:t>2</w:t>
            </w:r>
            <w:r>
              <w:rPr>
                <w:rFonts w:ascii="仿宋_GB2312" w:hAnsi="仿宋_GB2312" w:cs="仿宋_GB2312" w:eastAsia="仿宋_GB2312"/>
                <w:sz w:val="20"/>
              </w:rPr>
              <w:t>名人员的政务大厅驻场服务，</w:t>
            </w:r>
            <w:r>
              <w:rPr>
                <w:rFonts w:ascii="仿宋_GB2312" w:hAnsi="仿宋_GB2312" w:cs="仿宋_GB2312" w:eastAsia="仿宋_GB2312"/>
                <w:sz w:val="20"/>
              </w:rPr>
              <w:t>1</w:t>
            </w:r>
            <w:r>
              <w:rPr>
                <w:rFonts w:ascii="仿宋_GB2312" w:hAnsi="仿宋_GB2312" w:cs="仿宋_GB2312" w:eastAsia="仿宋_GB2312"/>
                <w:sz w:val="20"/>
              </w:rPr>
              <w:t>名微信服务人员，</w:t>
            </w:r>
            <w:r>
              <w:rPr>
                <w:rFonts w:ascii="仿宋_GB2312" w:hAnsi="仿宋_GB2312" w:cs="仿宋_GB2312" w:eastAsia="仿宋_GB2312"/>
                <w:sz w:val="20"/>
              </w:rPr>
              <w:t>2-3</w:t>
            </w:r>
            <w:r>
              <w:rPr>
                <w:rFonts w:ascii="仿宋_GB2312" w:hAnsi="仿宋_GB2312" w:cs="仿宋_GB2312" w:eastAsia="仿宋_GB2312"/>
                <w:sz w:val="20"/>
              </w:rPr>
              <w:t>名咨询窗口轮岗人员，其余座席人员根据采购人要求完成本项目相关服务；</w:t>
            </w:r>
          </w:p>
          <w:p>
            <w:pPr>
              <w:pStyle w:val="null3"/>
              <w:ind w:firstLine="400"/>
            </w:pPr>
            <w:r>
              <w:rPr>
                <w:rFonts w:ascii="仿宋_GB2312" w:hAnsi="仿宋_GB2312" w:cs="仿宋_GB2312" w:eastAsia="仿宋_GB2312"/>
                <w:sz w:val="20"/>
              </w:rPr>
              <w:t>2</w:t>
            </w:r>
            <w:r>
              <w:rPr>
                <w:rFonts w:ascii="仿宋_GB2312" w:hAnsi="仿宋_GB2312" w:cs="仿宋_GB2312" w:eastAsia="仿宋_GB2312"/>
                <w:sz w:val="20"/>
              </w:rPr>
              <w:t>、政务大厅驻场人员：主要负责做好社会事业服务局与座席人员的沟通对接，负责电话接线，长期派驻，并带领咨询团队，进行培训。</w:t>
            </w:r>
          </w:p>
          <w:p>
            <w:pPr>
              <w:pStyle w:val="null3"/>
              <w:ind w:firstLine="400"/>
            </w:pPr>
            <w:r>
              <w:rPr>
                <w:rFonts w:ascii="仿宋_GB2312" w:hAnsi="仿宋_GB2312" w:cs="仿宋_GB2312" w:eastAsia="仿宋_GB2312"/>
                <w:sz w:val="20"/>
              </w:rPr>
              <w:t>3</w:t>
            </w:r>
            <w:r>
              <w:rPr>
                <w:rFonts w:ascii="仿宋_GB2312" w:hAnsi="仿宋_GB2312" w:cs="仿宋_GB2312" w:eastAsia="仿宋_GB2312"/>
                <w:sz w:val="20"/>
              </w:rPr>
              <w:t>、咨询窗口人员：为熟悉业务，另需定期派驻</w:t>
            </w:r>
            <w:r>
              <w:rPr>
                <w:rFonts w:ascii="仿宋_GB2312" w:hAnsi="仿宋_GB2312" w:cs="仿宋_GB2312" w:eastAsia="仿宋_GB2312"/>
                <w:sz w:val="20"/>
              </w:rPr>
              <w:t>2-3</w:t>
            </w:r>
            <w:r>
              <w:rPr>
                <w:rFonts w:ascii="仿宋_GB2312" w:hAnsi="仿宋_GB2312" w:cs="仿宋_GB2312" w:eastAsia="仿宋_GB2312"/>
                <w:sz w:val="20"/>
              </w:rPr>
              <w:t>人在咨询窗口进行轮岗学习，轮岗周期根据社会事业服务局具体安排进行。</w:t>
            </w:r>
          </w:p>
          <w:p>
            <w:pPr>
              <w:pStyle w:val="null3"/>
              <w:ind w:firstLine="400"/>
            </w:pPr>
            <w:r>
              <w:rPr>
                <w:rFonts w:ascii="仿宋_GB2312" w:hAnsi="仿宋_GB2312" w:cs="仿宋_GB2312" w:eastAsia="仿宋_GB2312"/>
                <w:sz w:val="20"/>
              </w:rPr>
              <w:t>4</w:t>
            </w:r>
            <w:r>
              <w:rPr>
                <w:rFonts w:ascii="仿宋_GB2312" w:hAnsi="仿宋_GB2312" w:cs="仿宋_GB2312" w:eastAsia="仿宋_GB2312"/>
                <w:sz w:val="20"/>
              </w:rPr>
              <w:t>、微信服务人员：主要负责“西安高新社保医保”微信公众号的信息推送、在线问答、留言回复和日常运维等</w:t>
            </w:r>
          </w:p>
          <w:p>
            <w:pPr>
              <w:pStyle w:val="null3"/>
            </w:pPr>
            <w:r>
              <w:rPr>
                <w:rFonts w:ascii="仿宋_GB2312" w:hAnsi="仿宋_GB2312" w:cs="仿宋_GB2312" w:eastAsia="仿宋_GB2312"/>
                <w:sz w:val="20"/>
                <w:b/>
              </w:rPr>
              <w:t>（二）座席电话服务</w:t>
            </w:r>
          </w:p>
          <w:p>
            <w:pPr>
              <w:pStyle w:val="null3"/>
              <w:ind w:firstLine="400"/>
            </w:pPr>
            <w:r>
              <w:rPr>
                <w:rFonts w:ascii="仿宋_GB2312" w:hAnsi="仿宋_GB2312" w:cs="仿宋_GB2312" w:eastAsia="仿宋_GB2312"/>
                <w:sz w:val="20"/>
              </w:rPr>
              <w:t>1.</w:t>
            </w:r>
            <w:r>
              <w:rPr>
                <w:rFonts w:ascii="仿宋_GB2312" w:hAnsi="仿宋_GB2312" w:cs="仿宋_GB2312" w:eastAsia="仿宋_GB2312"/>
                <w:sz w:val="20"/>
              </w:rPr>
              <w:t>咨询接线</w:t>
            </w:r>
          </w:p>
          <w:p>
            <w:pPr>
              <w:pStyle w:val="null3"/>
              <w:ind w:firstLine="400"/>
            </w:pPr>
            <w:r>
              <w:rPr>
                <w:rFonts w:ascii="仿宋_GB2312" w:hAnsi="仿宋_GB2312" w:cs="仿宋_GB2312" w:eastAsia="仿宋_GB2312"/>
                <w:sz w:val="20"/>
              </w:rPr>
              <w:t>为咨询人提供高新区社会保险、医疗保险、人事代理等相关政策法规、业务流程和办事指南等相关问题的答复。每天</w:t>
            </w:r>
            <w:r>
              <w:rPr>
                <w:rFonts w:ascii="仿宋_GB2312" w:hAnsi="仿宋_GB2312" w:cs="仿宋_GB2312" w:eastAsia="仿宋_GB2312"/>
                <w:sz w:val="20"/>
              </w:rPr>
              <w:t>8:30</w:t>
            </w:r>
            <w:r>
              <w:rPr>
                <w:rFonts w:ascii="仿宋_GB2312" w:hAnsi="仿宋_GB2312" w:cs="仿宋_GB2312" w:eastAsia="仿宋_GB2312"/>
                <w:sz w:val="20"/>
              </w:rPr>
              <w:t>至</w:t>
            </w:r>
            <w:r>
              <w:rPr>
                <w:rFonts w:ascii="仿宋_GB2312" w:hAnsi="仿宋_GB2312" w:cs="仿宋_GB2312" w:eastAsia="仿宋_GB2312"/>
                <w:sz w:val="20"/>
              </w:rPr>
              <w:t>18:00</w:t>
            </w:r>
            <w:r>
              <w:rPr>
                <w:rFonts w:ascii="仿宋_GB2312" w:hAnsi="仿宋_GB2312" w:cs="仿宋_GB2312" w:eastAsia="仿宋_GB2312"/>
                <w:sz w:val="20"/>
              </w:rPr>
              <w:t>全天不间断服务，按国家法定节假日休息。如遇突发事件或特殊情况，则根据社会事业服务局要求，安排值班和应急工作。</w:t>
            </w:r>
          </w:p>
          <w:p>
            <w:pPr>
              <w:pStyle w:val="null3"/>
              <w:ind w:firstLine="400"/>
            </w:pPr>
            <w:r>
              <w:rPr>
                <w:rFonts w:ascii="仿宋_GB2312" w:hAnsi="仿宋_GB2312" w:cs="仿宋_GB2312" w:eastAsia="仿宋_GB2312"/>
                <w:sz w:val="20"/>
              </w:rPr>
              <w:t>2.</w:t>
            </w:r>
            <w:r>
              <w:rPr>
                <w:rFonts w:ascii="仿宋_GB2312" w:hAnsi="仿宋_GB2312" w:cs="仿宋_GB2312" w:eastAsia="仿宋_GB2312"/>
                <w:sz w:val="20"/>
              </w:rPr>
              <w:t>电话外呼</w:t>
            </w:r>
          </w:p>
          <w:p>
            <w:pPr>
              <w:pStyle w:val="null3"/>
            </w:pPr>
            <w:r>
              <w:rPr>
                <w:rFonts w:ascii="仿宋_GB2312" w:hAnsi="仿宋_GB2312" w:cs="仿宋_GB2312" w:eastAsia="仿宋_GB2312"/>
                <w:sz w:val="20"/>
              </w:rPr>
              <w:t>根据工作需要，为服务对象提供社会事业服务局相关业务的告知、情况反馈和业务提醒等工作。</w:t>
            </w:r>
          </w:p>
          <w:p>
            <w:pPr>
              <w:pStyle w:val="null3"/>
              <w:ind w:firstLine="420"/>
            </w:pPr>
            <w:r>
              <w:rPr>
                <w:rFonts w:ascii="仿宋_GB2312" w:hAnsi="仿宋_GB2312" w:cs="仿宋_GB2312" w:eastAsia="仿宋_GB2312"/>
                <w:sz w:val="20"/>
              </w:rPr>
              <w:t>3.</w:t>
            </w:r>
            <w:r>
              <w:rPr>
                <w:rFonts w:ascii="仿宋_GB2312" w:hAnsi="仿宋_GB2312" w:cs="仿宋_GB2312" w:eastAsia="仿宋_GB2312"/>
                <w:sz w:val="20"/>
              </w:rPr>
              <w:t>服务要求</w:t>
            </w:r>
          </w:p>
          <w:p>
            <w:pPr>
              <w:pStyle w:val="null3"/>
              <w:ind w:firstLine="400"/>
            </w:pPr>
            <w:r>
              <w:rPr>
                <w:rFonts w:ascii="仿宋_GB2312" w:hAnsi="仿宋_GB2312" w:cs="仿宋_GB2312" w:eastAsia="仿宋_GB2312"/>
                <w:sz w:val="20"/>
              </w:rPr>
              <w:t>座席人员能够按照政策标准和业务标准，熟练答复来电咨询。</w:t>
            </w:r>
          </w:p>
          <w:p>
            <w:pPr>
              <w:pStyle w:val="null3"/>
              <w:ind w:firstLine="400"/>
            </w:pPr>
            <w:r>
              <w:rPr>
                <w:rFonts w:ascii="仿宋_GB2312" w:hAnsi="仿宋_GB2312" w:cs="仿宋_GB2312" w:eastAsia="仿宋_GB2312"/>
                <w:sz w:val="20"/>
              </w:rPr>
              <w:t>以回复效率和群众体验为第一准则，定期优化流程，流程书面化、系统化，提升回复效率。</w:t>
            </w:r>
          </w:p>
          <w:p>
            <w:pPr>
              <w:pStyle w:val="null3"/>
              <w:ind w:firstLine="400"/>
            </w:pPr>
            <w:r>
              <w:rPr>
                <w:rFonts w:ascii="仿宋_GB2312" w:hAnsi="仿宋_GB2312" w:cs="仿宋_GB2312" w:eastAsia="仿宋_GB2312"/>
                <w:sz w:val="20"/>
              </w:rPr>
              <w:t>电话接通率不低于</w:t>
            </w:r>
            <w:r>
              <w:rPr>
                <w:rFonts w:ascii="仿宋_GB2312" w:hAnsi="仿宋_GB2312" w:cs="仿宋_GB2312" w:eastAsia="仿宋_GB2312"/>
                <w:sz w:val="20"/>
              </w:rPr>
              <w:t>99%</w:t>
            </w:r>
            <w:r>
              <w:rPr>
                <w:rFonts w:ascii="仿宋_GB2312" w:hAnsi="仿宋_GB2312" w:cs="仿宋_GB2312" w:eastAsia="仿宋_GB2312"/>
                <w:sz w:val="20"/>
              </w:rPr>
              <w:t>，电话答复群众满意度确保</w:t>
            </w:r>
            <w:r>
              <w:rPr>
                <w:rFonts w:ascii="仿宋_GB2312" w:hAnsi="仿宋_GB2312" w:cs="仿宋_GB2312" w:eastAsia="仿宋_GB2312"/>
                <w:sz w:val="20"/>
              </w:rPr>
              <w:t>100%</w:t>
            </w:r>
            <w:r>
              <w:rPr>
                <w:rFonts w:ascii="仿宋_GB2312" w:hAnsi="仿宋_GB2312" w:cs="仿宋_GB2312" w:eastAsia="仿宋_GB2312"/>
                <w:sz w:val="20"/>
              </w:rPr>
              <w:t>。</w:t>
            </w:r>
          </w:p>
          <w:p>
            <w:pPr>
              <w:pStyle w:val="null3"/>
              <w:ind w:firstLine="420"/>
            </w:pPr>
            <w:r>
              <w:rPr>
                <w:rFonts w:ascii="仿宋_GB2312" w:hAnsi="仿宋_GB2312" w:cs="仿宋_GB2312" w:eastAsia="仿宋_GB2312"/>
                <w:sz w:val="20"/>
                <w:b/>
              </w:rPr>
              <w:t>（三）微信服务</w:t>
            </w:r>
          </w:p>
          <w:p>
            <w:pPr>
              <w:pStyle w:val="null3"/>
            </w:pPr>
            <w:r>
              <w:rPr>
                <w:rFonts w:ascii="仿宋_GB2312" w:hAnsi="仿宋_GB2312" w:cs="仿宋_GB2312" w:eastAsia="仿宋_GB2312"/>
                <w:sz w:val="20"/>
              </w:rPr>
              <w:t>主要负责“西安高新社保医保”微信公众号的信息推送、在线问答、留言回复和日常运维等。</w:t>
            </w:r>
          </w:p>
          <w:p>
            <w:pPr>
              <w:pStyle w:val="null3"/>
            </w:pPr>
            <w:r>
              <w:rPr>
                <w:rFonts w:ascii="仿宋_GB2312" w:hAnsi="仿宋_GB2312" w:cs="仿宋_GB2312" w:eastAsia="仿宋_GB2312"/>
                <w:sz w:val="20"/>
              </w:rPr>
              <w:t>1.</w:t>
            </w:r>
            <w:r>
              <w:rPr>
                <w:rFonts w:ascii="仿宋_GB2312" w:hAnsi="仿宋_GB2312" w:cs="仿宋_GB2312" w:eastAsia="仿宋_GB2312"/>
                <w:sz w:val="20"/>
              </w:rPr>
              <w:t>信息发布</w:t>
            </w:r>
          </w:p>
          <w:p>
            <w:pPr>
              <w:pStyle w:val="null3"/>
            </w:pPr>
            <w:r>
              <w:rPr>
                <w:rFonts w:ascii="仿宋_GB2312" w:hAnsi="仿宋_GB2312" w:cs="仿宋_GB2312" w:eastAsia="仿宋_GB2312"/>
                <w:sz w:val="20"/>
              </w:rPr>
              <w:t>由社会事业服务局收集信息素材，主要包括政策法规、通知公告、业务流程、办事指南、业务咨询、工作动态等内容。根据工作需求，提供图文编辑、信息发布和技术支持等服务。每月按信息推送最大期数和条数推送相关内容，如有特殊情况，根据社会事业服务局要求随时调整。</w:t>
            </w:r>
          </w:p>
          <w:p>
            <w:pPr>
              <w:pStyle w:val="null3"/>
            </w:pPr>
            <w:r>
              <w:rPr>
                <w:rFonts w:ascii="仿宋_GB2312" w:hAnsi="仿宋_GB2312" w:cs="仿宋_GB2312" w:eastAsia="仿宋_GB2312"/>
                <w:sz w:val="20"/>
              </w:rPr>
              <w:t>2.</w:t>
            </w:r>
            <w:r>
              <w:rPr>
                <w:rFonts w:ascii="仿宋_GB2312" w:hAnsi="仿宋_GB2312" w:cs="仿宋_GB2312" w:eastAsia="仿宋_GB2312"/>
                <w:sz w:val="20"/>
              </w:rPr>
              <w:t>在线回复</w:t>
            </w:r>
          </w:p>
          <w:p>
            <w:pPr>
              <w:pStyle w:val="null3"/>
            </w:pPr>
            <w:r>
              <w:rPr>
                <w:rFonts w:ascii="仿宋_GB2312" w:hAnsi="仿宋_GB2312" w:cs="仿宋_GB2312" w:eastAsia="仿宋_GB2312"/>
                <w:sz w:val="20"/>
              </w:rPr>
              <w:t>负责用户通过微信公众号咨询问题的回复和推送信息留言的回复。如遇紧急情况，须及时告知社会事业服务局，根据要求妥善处理、回复。</w:t>
            </w:r>
          </w:p>
          <w:p>
            <w:pPr>
              <w:pStyle w:val="null3"/>
            </w:pPr>
            <w:r>
              <w:rPr>
                <w:rFonts w:ascii="仿宋_GB2312" w:hAnsi="仿宋_GB2312" w:cs="仿宋_GB2312" w:eastAsia="仿宋_GB2312"/>
                <w:sz w:val="20"/>
              </w:rPr>
              <w:t>3.</w:t>
            </w:r>
            <w:r>
              <w:rPr>
                <w:rFonts w:ascii="仿宋_GB2312" w:hAnsi="仿宋_GB2312" w:cs="仿宋_GB2312" w:eastAsia="仿宋_GB2312"/>
                <w:sz w:val="20"/>
              </w:rPr>
              <w:t>自动回复</w:t>
            </w:r>
          </w:p>
          <w:p>
            <w:pPr>
              <w:pStyle w:val="null3"/>
            </w:pPr>
            <w:r>
              <w:rPr>
                <w:rFonts w:ascii="仿宋_GB2312" w:hAnsi="仿宋_GB2312" w:cs="仿宋_GB2312" w:eastAsia="仿宋_GB2312"/>
                <w:sz w:val="20"/>
              </w:rPr>
              <w:t>开发微信公众号自动回复功能，对于群众通过微信在线咨询的问题，特别是日常问题和热点问题要实现自动回复，并定期更新，确保回复准确无误。</w:t>
            </w:r>
          </w:p>
          <w:p>
            <w:pPr>
              <w:pStyle w:val="null3"/>
            </w:pPr>
            <w:r>
              <w:rPr>
                <w:rFonts w:ascii="仿宋_GB2312" w:hAnsi="仿宋_GB2312" w:cs="仿宋_GB2312" w:eastAsia="仿宋_GB2312"/>
                <w:sz w:val="20"/>
              </w:rPr>
              <w:t>4.</w:t>
            </w:r>
            <w:r>
              <w:rPr>
                <w:rFonts w:ascii="仿宋_GB2312" w:hAnsi="仿宋_GB2312" w:cs="仿宋_GB2312" w:eastAsia="仿宋_GB2312"/>
                <w:sz w:val="20"/>
              </w:rPr>
              <w:t>公众号运维</w:t>
            </w:r>
          </w:p>
          <w:p>
            <w:pPr>
              <w:pStyle w:val="null3"/>
            </w:pPr>
            <w:r>
              <w:rPr>
                <w:rFonts w:ascii="仿宋_GB2312" w:hAnsi="仿宋_GB2312" w:cs="仿宋_GB2312" w:eastAsia="仿宋_GB2312"/>
                <w:sz w:val="20"/>
              </w:rPr>
              <w:t>包括微信公众号年审提交、菜单维护和必要的硬件及技术支持。</w:t>
            </w:r>
          </w:p>
          <w:p>
            <w:pPr>
              <w:pStyle w:val="null3"/>
            </w:pPr>
            <w:r>
              <w:rPr>
                <w:rFonts w:ascii="仿宋_GB2312" w:hAnsi="仿宋_GB2312" w:cs="仿宋_GB2312" w:eastAsia="仿宋_GB2312"/>
                <w:sz w:val="20"/>
                <w:b/>
              </w:rPr>
              <w:t>（四）驻场服务及轮岗学习。</w:t>
            </w:r>
          </w:p>
          <w:p>
            <w:pPr>
              <w:pStyle w:val="null3"/>
            </w:pPr>
            <w:r>
              <w:rPr>
                <w:rFonts w:ascii="仿宋_GB2312" w:hAnsi="仿宋_GB2312" w:cs="仿宋_GB2312" w:eastAsia="仿宋_GB2312"/>
                <w:sz w:val="20"/>
              </w:rPr>
              <w:t>1.</w:t>
            </w:r>
            <w:r>
              <w:rPr>
                <w:rFonts w:ascii="仿宋_GB2312" w:hAnsi="仿宋_GB2312" w:cs="仿宋_GB2312" w:eastAsia="仿宋_GB2312"/>
                <w:sz w:val="20"/>
              </w:rPr>
              <w:t>安排不少于</w:t>
            </w:r>
            <w:r>
              <w:rPr>
                <w:rFonts w:ascii="仿宋_GB2312" w:hAnsi="仿宋_GB2312" w:cs="仿宋_GB2312" w:eastAsia="仿宋_GB2312"/>
                <w:sz w:val="20"/>
              </w:rPr>
              <w:t>2</w:t>
            </w:r>
            <w:r>
              <w:rPr>
                <w:rFonts w:ascii="仿宋_GB2312" w:hAnsi="仿宋_GB2312" w:cs="仿宋_GB2312" w:eastAsia="仿宋_GB2312"/>
                <w:sz w:val="20"/>
              </w:rPr>
              <w:t>人提供政务大厅驻场服务，主要负责做好社会事业服务局与座席人员的沟通对接，负责电话接线，长期派驻，并带领咨询团队，进行培训。</w:t>
            </w:r>
          </w:p>
          <w:p>
            <w:pPr>
              <w:pStyle w:val="null3"/>
            </w:pPr>
            <w:r>
              <w:rPr>
                <w:rFonts w:ascii="仿宋_GB2312" w:hAnsi="仿宋_GB2312" w:cs="仿宋_GB2312" w:eastAsia="仿宋_GB2312"/>
                <w:sz w:val="20"/>
              </w:rPr>
              <w:t>2.</w:t>
            </w:r>
            <w:r>
              <w:rPr>
                <w:rFonts w:ascii="仿宋_GB2312" w:hAnsi="仿宋_GB2312" w:cs="仿宋_GB2312" w:eastAsia="仿宋_GB2312"/>
                <w:sz w:val="20"/>
              </w:rPr>
              <w:t>为熟悉业务，另需定期派驻</w:t>
            </w:r>
            <w:r>
              <w:rPr>
                <w:rFonts w:ascii="仿宋_GB2312" w:hAnsi="仿宋_GB2312" w:cs="仿宋_GB2312" w:eastAsia="仿宋_GB2312"/>
                <w:sz w:val="20"/>
              </w:rPr>
              <w:t>2-3</w:t>
            </w:r>
            <w:r>
              <w:rPr>
                <w:rFonts w:ascii="仿宋_GB2312" w:hAnsi="仿宋_GB2312" w:cs="仿宋_GB2312" w:eastAsia="仿宋_GB2312"/>
                <w:sz w:val="20"/>
              </w:rPr>
              <w:t>人在咨询窗口进行轮岗学习，轮岗周期根据社会事业服务局具体安排进行。</w:t>
            </w:r>
          </w:p>
          <w:p>
            <w:pPr>
              <w:pStyle w:val="null3"/>
            </w:pPr>
            <w:r>
              <w:rPr>
                <w:rFonts w:ascii="仿宋_GB2312" w:hAnsi="仿宋_GB2312" w:cs="仿宋_GB2312" w:eastAsia="仿宋_GB2312"/>
                <w:sz w:val="21"/>
                <w:b/>
              </w:rPr>
              <w:t>二、项目周期</w:t>
            </w:r>
            <w:r>
              <w:rPr>
                <w:rFonts w:ascii="仿宋_GB2312" w:hAnsi="仿宋_GB2312" w:cs="仿宋_GB2312" w:eastAsia="仿宋_GB2312"/>
                <w:sz w:val="21"/>
                <w:b/>
              </w:rPr>
              <w:t>:</w:t>
            </w:r>
            <w:r>
              <w:rPr>
                <w:rFonts w:ascii="仿宋_GB2312" w:hAnsi="仿宋_GB2312" w:cs="仿宋_GB2312" w:eastAsia="仿宋_GB2312"/>
                <w:sz w:val="21"/>
              </w:rPr>
              <w:t>202</w:t>
            </w:r>
            <w:r>
              <w:rPr>
                <w:rFonts w:ascii="仿宋_GB2312" w:hAnsi="仿宋_GB2312" w:cs="仿宋_GB2312" w:eastAsia="仿宋_GB2312"/>
                <w:sz w:val="21"/>
              </w:rPr>
              <w:t>6</w:t>
            </w:r>
            <w:r>
              <w:rPr>
                <w:rFonts w:ascii="仿宋_GB2312" w:hAnsi="仿宋_GB2312" w:cs="仿宋_GB2312" w:eastAsia="仿宋_GB2312"/>
                <w:sz w:val="21"/>
              </w:rPr>
              <w:t>年</w:t>
            </w:r>
            <w:r>
              <w:rPr>
                <w:rFonts w:ascii="仿宋_GB2312" w:hAnsi="仿宋_GB2312" w:cs="仿宋_GB2312" w:eastAsia="仿宋_GB2312"/>
                <w:sz w:val="21"/>
              </w:rPr>
              <w:t>8</w:t>
            </w:r>
            <w:r>
              <w:rPr>
                <w:rFonts w:ascii="仿宋_GB2312" w:hAnsi="仿宋_GB2312" w:cs="仿宋_GB2312" w:eastAsia="仿宋_GB2312"/>
                <w:sz w:val="21"/>
              </w:rPr>
              <w:t>月</w:t>
            </w:r>
            <w:r>
              <w:rPr>
                <w:rFonts w:ascii="仿宋_GB2312" w:hAnsi="仿宋_GB2312" w:cs="仿宋_GB2312" w:eastAsia="仿宋_GB2312"/>
                <w:sz w:val="21"/>
              </w:rPr>
              <w:t>1</w:t>
            </w:r>
            <w:r>
              <w:rPr>
                <w:rFonts w:ascii="仿宋_GB2312" w:hAnsi="仿宋_GB2312" w:cs="仿宋_GB2312" w:eastAsia="仿宋_GB2312"/>
                <w:sz w:val="21"/>
              </w:rPr>
              <w:t>日至</w:t>
            </w:r>
            <w:r>
              <w:rPr>
                <w:rFonts w:ascii="仿宋_GB2312" w:hAnsi="仿宋_GB2312" w:cs="仿宋_GB2312" w:eastAsia="仿宋_GB2312"/>
                <w:sz w:val="21"/>
              </w:rPr>
              <w:t>202</w:t>
            </w:r>
            <w:r>
              <w:rPr>
                <w:rFonts w:ascii="仿宋_GB2312" w:hAnsi="仿宋_GB2312" w:cs="仿宋_GB2312" w:eastAsia="仿宋_GB2312"/>
                <w:sz w:val="21"/>
              </w:rPr>
              <w:t>7</w:t>
            </w:r>
            <w:r>
              <w:rPr>
                <w:rFonts w:ascii="仿宋_GB2312" w:hAnsi="仿宋_GB2312" w:cs="仿宋_GB2312" w:eastAsia="仿宋_GB2312"/>
                <w:sz w:val="21"/>
              </w:rPr>
              <w:t>年</w:t>
            </w:r>
            <w:r>
              <w:rPr>
                <w:rFonts w:ascii="仿宋_GB2312" w:hAnsi="仿宋_GB2312" w:cs="仿宋_GB2312" w:eastAsia="仿宋_GB2312"/>
                <w:sz w:val="21"/>
              </w:rPr>
              <w:t>7</w:t>
            </w:r>
            <w:r>
              <w:rPr>
                <w:rFonts w:ascii="仿宋_GB2312" w:hAnsi="仿宋_GB2312" w:cs="仿宋_GB2312" w:eastAsia="仿宋_GB2312"/>
                <w:sz w:val="21"/>
              </w:rPr>
              <w:t>月</w:t>
            </w:r>
            <w:r>
              <w:rPr>
                <w:rFonts w:ascii="仿宋_GB2312" w:hAnsi="仿宋_GB2312" w:cs="仿宋_GB2312" w:eastAsia="仿宋_GB2312"/>
                <w:sz w:val="21"/>
              </w:rPr>
              <w:t>31</w:t>
            </w:r>
            <w:r>
              <w:rPr>
                <w:rFonts w:ascii="仿宋_GB2312" w:hAnsi="仿宋_GB2312" w:cs="仿宋_GB2312" w:eastAsia="仿宋_GB2312"/>
                <w:sz w:val="21"/>
              </w:rPr>
              <w:t>日（具体项目周期以正式合同为准）</w:t>
            </w:r>
          </w:p>
          <w:p>
            <w:pPr>
              <w:pStyle w:val="null3"/>
              <w:ind w:firstLine="422"/>
              <w:jc w:val="both"/>
            </w:pPr>
            <w:r>
              <w:rPr>
                <w:rFonts w:ascii="仿宋_GB2312" w:hAnsi="仿宋_GB2312" w:cs="仿宋_GB2312" w:eastAsia="仿宋_GB2312"/>
                <w:sz w:val="21"/>
                <w:b/>
              </w:rPr>
              <w:t>三、项目要求</w:t>
            </w:r>
            <w:r>
              <w:rPr>
                <w:rFonts w:ascii="仿宋_GB2312" w:hAnsi="仿宋_GB2312" w:cs="仿宋_GB2312" w:eastAsia="仿宋_GB2312"/>
                <w:sz w:val="21"/>
                <w:b/>
              </w:rPr>
              <w:t>:</w:t>
            </w:r>
          </w:p>
          <w:p>
            <w:pPr>
              <w:pStyle w:val="null3"/>
              <w:ind w:firstLine="422"/>
            </w:pPr>
            <w:r>
              <w:rPr>
                <w:rFonts w:ascii="仿宋_GB2312" w:hAnsi="仿宋_GB2312" w:cs="仿宋_GB2312" w:eastAsia="仿宋_GB2312"/>
                <w:sz w:val="21"/>
                <w:b/>
                <w:color w:val="000000"/>
              </w:rPr>
              <w:t>（一）团队机制</w:t>
            </w:r>
          </w:p>
          <w:p>
            <w:pPr>
              <w:pStyle w:val="null3"/>
              <w:ind w:firstLine="645"/>
            </w:pPr>
            <w:r>
              <w:rPr>
                <w:rFonts w:ascii="仿宋_GB2312" w:hAnsi="仿宋_GB2312" w:cs="仿宋_GB2312" w:eastAsia="仿宋_GB2312"/>
                <w:sz w:val="21"/>
                <w:color w:val="000000"/>
              </w:rPr>
              <w:t>1.</w:t>
            </w:r>
            <w:r>
              <w:rPr>
                <w:rFonts w:ascii="仿宋_GB2312" w:hAnsi="仿宋_GB2312" w:cs="仿宋_GB2312" w:eastAsia="仿宋_GB2312"/>
                <w:sz w:val="21"/>
                <w:color w:val="000000"/>
              </w:rPr>
              <w:t>提供电话服务和微信服务的人员及相应设备，并要有一支固定的、专业的项目团队，并向社会事业服务局提供团队人员的履历信息表。</w:t>
            </w:r>
          </w:p>
          <w:p>
            <w:pPr>
              <w:pStyle w:val="null3"/>
              <w:ind w:firstLine="645"/>
            </w:pPr>
            <w:r>
              <w:rPr>
                <w:rFonts w:ascii="仿宋_GB2312" w:hAnsi="仿宋_GB2312" w:cs="仿宋_GB2312" w:eastAsia="仿宋_GB2312"/>
                <w:sz w:val="21"/>
                <w:color w:val="000000"/>
              </w:rPr>
              <w:t>2.</w:t>
            </w:r>
            <w:r>
              <w:rPr>
                <w:rFonts w:ascii="仿宋_GB2312" w:hAnsi="仿宋_GB2312" w:cs="仿宋_GB2312" w:eastAsia="仿宋_GB2312"/>
                <w:sz w:val="21"/>
                <w:color w:val="000000"/>
              </w:rPr>
              <w:t>安排人员标准均应达到以下要求：</w:t>
            </w:r>
          </w:p>
          <w:p>
            <w:pPr>
              <w:pStyle w:val="null3"/>
              <w:ind w:firstLine="645"/>
            </w:pPr>
            <w:r>
              <w:rPr>
                <w:rFonts w:ascii="仿宋_GB2312" w:hAnsi="仿宋_GB2312" w:cs="仿宋_GB2312" w:eastAsia="仿宋_GB2312"/>
                <w:sz w:val="21"/>
                <w:color w:val="000000"/>
              </w:rPr>
              <w:t>①大中专</w:t>
            </w:r>
            <w:r>
              <w:rPr>
                <w:rFonts w:ascii="仿宋_GB2312" w:hAnsi="仿宋_GB2312" w:cs="仿宋_GB2312" w:eastAsia="仿宋_GB2312"/>
                <w:sz w:val="21"/>
                <w:color w:val="000000"/>
              </w:rPr>
              <w:t>(</w:t>
            </w:r>
            <w:r>
              <w:rPr>
                <w:rFonts w:ascii="仿宋_GB2312" w:hAnsi="仿宋_GB2312" w:cs="仿宋_GB2312" w:eastAsia="仿宋_GB2312"/>
                <w:sz w:val="21"/>
                <w:color w:val="000000"/>
              </w:rPr>
              <w:t>含</w:t>
            </w:r>
            <w:r>
              <w:rPr>
                <w:rFonts w:ascii="仿宋_GB2312" w:hAnsi="仿宋_GB2312" w:cs="仿宋_GB2312" w:eastAsia="仿宋_GB2312"/>
                <w:sz w:val="21"/>
                <w:color w:val="000000"/>
              </w:rPr>
              <w:t>)</w:t>
            </w:r>
            <w:r>
              <w:rPr>
                <w:rFonts w:ascii="仿宋_GB2312" w:hAnsi="仿宋_GB2312" w:cs="仿宋_GB2312" w:eastAsia="仿宋_GB2312"/>
                <w:sz w:val="21"/>
                <w:color w:val="000000"/>
              </w:rPr>
              <w:t>以上学历</w:t>
            </w:r>
            <w:r>
              <w:rPr>
                <w:rFonts w:ascii="仿宋_GB2312" w:hAnsi="仿宋_GB2312" w:cs="仿宋_GB2312" w:eastAsia="仿宋_GB2312"/>
                <w:sz w:val="21"/>
                <w:color w:val="000000"/>
              </w:rPr>
              <w:t>;</w:t>
            </w:r>
          </w:p>
          <w:p>
            <w:pPr>
              <w:pStyle w:val="null3"/>
              <w:ind w:firstLine="645"/>
            </w:pPr>
            <w:r>
              <w:rPr>
                <w:rFonts w:ascii="仿宋_GB2312" w:hAnsi="仿宋_GB2312" w:cs="仿宋_GB2312" w:eastAsia="仿宋_GB2312"/>
                <w:sz w:val="21"/>
                <w:color w:val="000000"/>
              </w:rPr>
              <w:t>②具有相关工作经验优先；</w:t>
            </w:r>
          </w:p>
          <w:p>
            <w:pPr>
              <w:pStyle w:val="null3"/>
              <w:ind w:firstLine="645"/>
            </w:pPr>
            <w:r>
              <w:rPr>
                <w:rFonts w:ascii="仿宋_GB2312" w:hAnsi="仿宋_GB2312" w:cs="仿宋_GB2312" w:eastAsia="仿宋_GB2312"/>
                <w:sz w:val="21"/>
                <w:color w:val="000000"/>
              </w:rPr>
              <w:t>③思维清晰</w:t>
            </w:r>
            <w:r>
              <w:rPr>
                <w:rFonts w:ascii="仿宋_GB2312" w:hAnsi="仿宋_GB2312" w:cs="仿宋_GB2312" w:eastAsia="仿宋_GB2312"/>
                <w:sz w:val="21"/>
                <w:color w:val="000000"/>
              </w:rPr>
              <w:t>,</w:t>
            </w:r>
            <w:r>
              <w:rPr>
                <w:rFonts w:ascii="仿宋_GB2312" w:hAnsi="仿宋_GB2312" w:cs="仿宋_GB2312" w:eastAsia="仿宋_GB2312"/>
                <w:sz w:val="21"/>
                <w:color w:val="000000"/>
              </w:rPr>
              <w:t>具有较强的语言表达能力；</w:t>
            </w:r>
          </w:p>
          <w:p>
            <w:pPr>
              <w:pStyle w:val="null3"/>
              <w:ind w:firstLine="645"/>
            </w:pPr>
            <w:r>
              <w:rPr>
                <w:rFonts w:ascii="仿宋_GB2312" w:hAnsi="仿宋_GB2312" w:cs="仿宋_GB2312" w:eastAsia="仿宋_GB2312"/>
                <w:sz w:val="21"/>
                <w:color w:val="000000"/>
              </w:rPr>
              <w:t>④熟知热线电话受理范围内的相关政策和业务知识；</w:t>
            </w:r>
          </w:p>
          <w:p>
            <w:pPr>
              <w:pStyle w:val="null3"/>
              <w:ind w:firstLine="645"/>
            </w:pPr>
            <w:r>
              <w:rPr>
                <w:rFonts w:ascii="仿宋_GB2312" w:hAnsi="仿宋_GB2312" w:cs="仿宋_GB2312" w:eastAsia="仿宋_GB2312"/>
                <w:sz w:val="21"/>
                <w:color w:val="000000"/>
              </w:rPr>
              <w:t>⑤具备较强的服务意识和语言表达能力，良好的沟通能力和记忆能力，良好的心理承受能力和学习能力。</w:t>
            </w:r>
          </w:p>
          <w:p>
            <w:pPr>
              <w:pStyle w:val="null3"/>
              <w:ind w:firstLine="645"/>
            </w:pPr>
            <w:r>
              <w:rPr>
                <w:rFonts w:ascii="仿宋_GB2312" w:hAnsi="仿宋_GB2312" w:cs="仿宋_GB2312" w:eastAsia="仿宋_GB2312"/>
                <w:sz w:val="21"/>
                <w:color w:val="000000"/>
              </w:rPr>
              <w:t>3.</w:t>
            </w:r>
            <w:r>
              <w:rPr>
                <w:rFonts w:ascii="仿宋_GB2312" w:hAnsi="仿宋_GB2312" w:cs="仿宋_GB2312" w:eastAsia="仿宋_GB2312"/>
                <w:sz w:val="21"/>
                <w:color w:val="000000"/>
              </w:rPr>
              <w:t>福利待遇要求：须依照国家、省市相关规定</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为服务外包座席记录人员办理合法的劳动用工手续，依法缴纳社会保险，并签订劳动合同。应根据西安市有关规定，按月足额支付其员工的工资。</w:t>
            </w:r>
          </w:p>
          <w:p>
            <w:pPr>
              <w:pStyle w:val="null3"/>
              <w:ind w:firstLine="645"/>
            </w:pPr>
            <w:r>
              <w:rPr>
                <w:rFonts w:ascii="仿宋_GB2312" w:hAnsi="仿宋_GB2312" w:cs="仿宋_GB2312" w:eastAsia="仿宋_GB2312"/>
                <w:sz w:val="21"/>
                <w:color w:val="000000"/>
              </w:rPr>
              <w:t>4.</w:t>
            </w:r>
            <w:r>
              <w:rPr>
                <w:rFonts w:ascii="仿宋_GB2312" w:hAnsi="仿宋_GB2312" w:cs="仿宋_GB2312" w:eastAsia="仿宋_GB2312"/>
                <w:sz w:val="21"/>
                <w:color w:val="000000"/>
              </w:rPr>
              <w:t>负责对其工作人员进行日常管理、量化考核，工资发放，</w:t>
            </w:r>
            <w:r>
              <w:rPr>
                <w:rFonts w:ascii="仿宋_GB2312" w:hAnsi="仿宋_GB2312" w:cs="仿宋_GB2312" w:eastAsia="仿宋_GB2312"/>
                <w:sz w:val="21"/>
              </w:rPr>
              <w:t>劳动关系管理、法律纠纷与劳动争议处理等工作，</w:t>
            </w:r>
            <w:r>
              <w:rPr>
                <w:rFonts w:ascii="仿宋_GB2312" w:hAnsi="仿宋_GB2312" w:cs="仿宋_GB2312" w:eastAsia="仿宋_GB2312"/>
                <w:sz w:val="21"/>
                <w:color w:val="000000"/>
              </w:rPr>
              <w:t>确保承揽的电话咨询和微信服务外包工作顺利进行。</w:t>
            </w:r>
          </w:p>
          <w:p>
            <w:pPr>
              <w:pStyle w:val="null3"/>
              <w:ind w:firstLine="645"/>
            </w:pPr>
            <w:r>
              <w:rPr>
                <w:rFonts w:ascii="仿宋_GB2312" w:hAnsi="仿宋_GB2312" w:cs="仿宋_GB2312" w:eastAsia="仿宋_GB2312"/>
                <w:sz w:val="21"/>
                <w:b/>
                <w:color w:val="000000"/>
              </w:rPr>
              <w:t>（二）报告机制</w:t>
            </w:r>
          </w:p>
          <w:p>
            <w:pPr>
              <w:pStyle w:val="null3"/>
              <w:ind w:firstLine="645"/>
            </w:pPr>
            <w:r>
              <w:rPr>
                <w:rFonts w:ascii="仿宋_GB2312" w:hAnsi="仿宋_GB2312" w:cs="仿宋_GB2312" w:eastAsia="仿宋_GB2312"/>
                <w:sz w:val="21"/>
                <w:color w:val="000000"/>
              </w:rPr>
              <w:t>负责每双周、每月进行相关数据统计，并向社会事业服务局提供周、月工作报告，包括但不限于接线量、满意度、热点问题、难点问题、常规问题梳理等情况。负责梳理近一周、近一个月的业务咨询热点，同社会事业服务局确认形成标准答案，更新座席咨询和微信咨询知识库，并对工作人员进行再培训。</w:t>
            </w:r>
          </w:p>
          <w:p>
            <w:pPr>
              <w:pStyle w:val="null3"/>
              <w:ind w:firstLine="645"/>
            </w:pPr>
            <w:r>
              <w:rPr>
                <w:rFonts w:ascii="仿宋_GB2312" w:hAnsi="仿宋_GB2312" w:cs="仿宋_GB2312" w:eastAsia="仿宋_GB2312"/>
                <w:sz w:val="21"/>
                <w:b/>
                <w:color w:val="000000"/>
              </w:rPr>
              <w:t>（三）沟通机制</w:t>
            </w:r>
          </w:p>
          <w:p>
            <w:pPr>
              <w:pStyle w:val="null3"/>
              <w:ind w:firstLine="645"/>
            </w:pPr>
            <w:r>
              <w:rPr>
                <w:rFonts w:ascii="仿宋_GB2312" w:hAnsi="仿宋_GB2312" w:cs="仿宋_GB2312" w:eastAsia="仿宋_GB2312"/>
                <w:sz w:val="21"/>
                <w:color w:val="000000"/>
              </w:rPr>
              <w:t>与社会事业服务局建立定期沟通机制，及时对接工作进展情况；如有需要同社会事业服务局协商或解决的重大问题，须以书面形式提交。</w:t>
            </w:r>
          </w:p>
          <w:p>
            <w:pPr>
              <w:pStyle w:val="null3"/>
              <w:ind w:firstLine="645"/>
            </w:pPr>
            <w:r>
              <w:rPr>
                <w:rFonts w:ascii="仿宋_GB2312" w:hAnsi="仿宋_GB2312" w:cs="仿宋_GB2312" w:eastAsia="仿宋_GB2312"/>
                <w:sz w:val="21"/>
                <w:b/>
                <w:color w:val="000000"/>
              </w:rPr>
              <w:t>（四）建立“知识库”机制</w:t>
            </w:r>
          </w:p>
          <w:p>
            <w:pPr>
              <w:pStyle w:val="null3"/>
              <w:ind w:firstLine="645"/>
            </w:pPr>
            <w:r>
              <w:rPr>
                <w:rFonts w:ascii="仿宋_GB2312" w:hAnsi="仿宋_GB2312" w:cs="仿宋_GB2312" w:eastAsia="仿宋_GB2312"/>
                <w:sz w:val="21"/>
                <w:color w:val="000000"/>
              </w:rPr>
              <w:t>对所有回答过的内容要归纳、整理、更新，经与社会事业服务局确认后，对员工进行培训。知识库原则上每周更新一次，可视工作需要随时更新。</w:t>
            </w:r>
          </w:p>
          <w:p>
            <w:pPr>
              <w:pStyle w:val="null3"/>
              <w:ind w:firstLine="645"/>
            </w:pPr>
            <w:r>
              <w:rPr>
                <w:rFonts w:ascii="仿宋_GB2312" w:hAnsi="仿宋_GB2312" w:cs="仿宋_GB2312" w:eastAsia="仿宋_GB2312"/>
                <w:sz w:val="21"/>
                <w:b/>
                <w:color w:val="000000"/>
              </w:rPr>
              <w:t>（五）保密机制</w:t>
            </w:r>
          </w:p>
          <w:p>
            <w:pPr>
              <w:pStyle w:val="null3"/>
              <w:ind w:firstLine="645"/>
            </w:pPr>
            <w:r>
              <w:rPr>
                <w:rFonts w:ascii="仿宋_GB2312" w:hAnsi="仿宋_GB2312" w:cs="仿宋_GB2312" w:eastAsia="仿宋_GB2312"/>
                <w:sz w:val="21"/>
                <w:color w:val="000000"/>
              </w:rPr>
              <w:t>业务咨询回复内容、信息发布内容以及“知识库”的版权归社会事业服务局所有。双方签订保密协议，若未履行保密协议，则依据保密协议相关约定处理。</w:t>
            </w:r>
          </w:p>
          <w:p>
            <w:pPr>
              <w:pStyle w:val="null3"/>
              <w:ind w:firstLine="645"/>
            </w:pPr>
            <w:r>
              <w:rPr>
                <w:rFonts w:ascii="仿宋_GB2312" w:hAnsi="仿宋_GB2312" w:cs="仿宋_GB2312" w:eastAsia="仿宋_GB2312"/>
                <w:sz w:val="21"/>
                <w:b/>
                <w:color w:val="000000"/>
              </w:rPr>
              <w:t>（六）应急机制</w:t>
            </w:r>
          </w:p>
          <w:p>
            <w:pPr>
              <w:pStyle w:val="null3"/>
              <w:ind w:firstLine="645"/>
            </w:pPr>
            <w:r>
              <w:rPr>
                <w:rFonts w:ascii="仿宋_GB2312" w:hAnsi="仿宋_GB2312" w:cs="仿宋_GB2312" w:eastAsia="仿宋_GB2312"/>
                <w:sz w:val="21"/>
                <w:color w:val="000000"/>
              </w:rPr>
              <w:t>1.</w:t>
            </w:r>
            <w:r>
              <w:rPr>
                <w:rFonts w:ascii="仿宋_GB2312" w:hAnsi="仿宋_GB2312" w:cs="仿宋_GB2312" w:eastAsia="仿宋_GB2312"/>
                <w:sz w:val="21"/>
                <w:color w:val="000000"/>
              </w:rPr>
              <w:t>如遇政策业务发生重大变化或重大调整，导致咨询量剧增，须临时增加座席人员，有效缓解接线、回复压力。</w:t>
            </w:r>
          </w:p>
          <w:p>
            <w:pPr>
              <w:pStyle w:val="null3"/>
              <w:ind w:firstLine="422"/>
            </w:pPr>
            <w:r>
              <w:rPr>
                <w:rFonts w:ascii="仿宋_GB2312" w:hAnsi="仿宋_GB2312" w:cs="仿宋_GB2312" w:eastAsia="仿宋_GB2312"/>
                <w:sz w:val="21"/>
                <w:color w:val="000000"/>
              </w:rPr>
              <w:t>2.</w:t>
            </w:r>
            <w:r>
              <w:rPr>
                <w:rFonts w:ascii="仿宋_GB2312" w:hAnsi="仿宋_GB2312" w:cs="仿宋_GB2312" w:eastAsia="仿宋_GB2312"/>
                <w:sz w:val="21"/>
                <w:color w:val="000000"/>
              </w:rPr>
              <w:t>为确保电话咨询和微信服务工作的连续性，若因客观原因，导致项目发生变化，项目外包单位应确保新承接单位可择优录取原单位工作人员。</w:t>
            </w:r>
          </w:p>
          <w:p>
            <w:pPr>
              <w:pStyle w:val="null3"/>
              <w:ind w:firstLine="422"/>
            </w:pPr>
            <w:r>
              <w:rPr>
                <w:rFonts w:ascii="仿宋_GB2312" w:hAnsi="仿宋_GB2312" w:cs="仿宋_GB2312" w:eastAsia="仿宋_GB2312"/>
                <w:sz w:val="21"/>
                <w:b/>
                <w:color w:val="000000"/>
              </w:rPr>
              <w:t>（七）培训学习机制</w:t>
            </w:r>
          </w:p>
          <w:p>
            <w:pPr>
              <w:pStyle w:val="null3"/>
              <w:ind w:firstLine="645"/>
            </w:pPr>
            <w:r>
              <w:rPr>
                <w:rFonts w:ascii="仿宋_GB2312" w:hAnsi="仿宋_GB2312" w:cs="仿宋_GB2312" w:eastAsia="仿宋_GB2312"/>
                <w:sz w:val="21"/>
                <w:color w:val="000000"/>
              </w:rPr>
              <w:t>1.</w:t>
            </w:r>
            <w:r>
              <w:rPr>
                <w:rFonts w:ascii="仿宋_GB2312" w:hAnsi="仿宋_GB2312" w:cs="仿宋_GB2312" w:eastAsia="仿宋_GB2312"/>
                <w:sz w:val="21"/>
                <w:color w:val="000000"/>
              </w:rPr>
              <w:t>内部培训：项目负责组织座席人员的日常培训，必要时，社会事业服务局可对培训方式和要求进行指导、调整。</w:t>
            </w:r>
          </w:p>
          <w:p>
            <w:pPr>
              <w:pStyle w:val="null3"/>
              <w:ind w:firstLine="645"/>
            </w:pPr>
            <w:r>
              <w:rPr>
                <w:rFonts w:ascii="仿宋_GB2312" w:hAnsi="仿宋_GB2312" w:cs="仿宋_GB2312" w:eastAsia="仿宋_GB2312"/>
                <w:sz w:val="21"/>
                <w:color w:val="000000"/>
              </w:rPr>
              <w:t>2.</w:t>
            </w:r>
            <w:r>
              <w:rPr>
                <w:rFonts w:ascii="仿宋_GB2312" w:hAnsi="仿宋_GB2312" w:cs="仿宋_GB2312" w:eastAsia="仿宋_GB2312"/>
                <w:sz w:val="21"/>
                <w:color w:val="000000"/>
              </w:rPr>
              <w:t>外部培训：积极参加社会事业服务局组织现场培训、线上培训。</w:t>
            </w:r>
          </w:p>
          <w:p>
            <w:pPr>
              <w:pStyle w:val="null3"/>
              <w:ind w:firstLine="645"/>
            </w:pPr>
            <w:r>
              <w:rPr>
                <w:rFonts w:ascii="仿宋_GB2312" w:hAnsi="仿宋_GB2312" w:cs="仿宋_GB2312" w:eastAsia="仿宋_GB2312"/>
                <w:sz w:val="21"/>
                <w:color w:val="000000"/>
              </w:rPr>
              <w:t>3.</w:t>
            </w:r>
            <w:r>
              <w:rPr>
                <w:rFonts w:ascii="仿宋_GB2312" w:hAnsi="仿宋_GB2312" w:cs="仿宋_GB2312" w:eastAsia="仿宋_GB2312"/>
                <w:sz w:val="21"/>
                <w:color w:val="000000"/>
              </w:rPr>
              <w:t>轮岗学习：安排座席人员在政务大厅进行学习，定期轮换。</w:t>
            </w:r>
          </w:p>
          <w:p>
            <w:pPr>
              <w:pStyle w:val="null3"/>
              <w:ind w:firstLine="422"/>
            </w:pPr>
            <w:r>
              <w:rPr>
                <w:rFonts w:ascii="仿宋_GB2312" w:hAnsi="仿宋_GB2312" w:cs="仿宋_GB2312" w:eastAsia="仿宋_GB2312"/>
                <w:sz w:val="21"/>
                <w:b/>
                <w:color w:val="000000"/>
              </w:rPr>
              <w:t>（八）硬件保障机制</w:t>
            </w:r>
          </w:p>
          <w:p>
            <w:pPr>
              <w:pStyle w:val="null3"/>
              <w:spacing w:after="120"/>
              <w:ind w:firstLine="420"/>
              <w:jc w:val="both"/>
            </w:pPr>
            <w:r>
              <w:rPr>
                <w:rFonts w:ascii="仿宋_GB2312" w:hAnsi="仿宋_GB2312" w:cs="仿宋_GB2312" w:eastAsia="仿宋_GB2312"/>
                <w:sz w:val="21"/>
                <w:color w:val="000000"/>
              </w:rPr>
              <w:t>提供外包座席话务咨询服务所涉及的硬件设备及通信维护，包含但不限于电脑、话机、耳机、交换机等。</w:t>
            </w:r>
          </w:p>
          <w:p>
            <w:pPr>
              <w:pStyle w:val="null3"/>
              <w:spacing w:after="120"/>
              <w:jc w:val="both"/>
            </w:pPr>
            <w:r>
              <w:rPr>
                <w:rFonts w:ascii="仿宋_GB2312" w:hAnsi="仿宋_GB2312" w:cs="仿宋_GB2312" w:eastAsia="仿宋_GB2312"/>
                <w:sz w:val="21"/>
                <w:b/>
                <w:color w:val="000000"/>
              </w:rPr>
              <w:t>（九）</w:t>
            </w:r>
            <w:r>
              <w:rPr>
                <w:rFonts w:ascii="仿宋_GB2312" w:hAnsi="仿宋_GB2312" w:cs="仿宋_GB2312" w:eastAsia="仿宋_GB2312"/>
                <w:sz w:val="21"/>
                <w:b/>
                <w:color w:val="000000"/>
              </w:rPr>
              <w:t>考核机制</w:t>
            </w:r>
          </w:p>
          <w:p>
            <w:pPr>
              <w:pStyle w:val="null3"/>
            </w:pPr>
            <w:r>
              <w:rPr>
                <w:rFonts w:ascii="仿宋_GB2312" w:hAnsi="仿宋_GB2312" w:cs="仿宋_GB2312" w:eastAsia="仿宋_GB2312"/>
                <w:sz w:val="21"/>
                <w:color w:val="000000"/>
              </w:rPr>
              <w:t>需为社会事业服务局提供考核的必要手段，包括但不限于视频监控、电话录音记录等。社会事业服务局对电话接通率、接通时间、通话情况满意度、答复准确性及人员管理情况定期进行抽查，同时记录抽查结果，抽查结果作为项目考核依据在项目付款时予以体现。</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422"/>
            </w:pPr>
            <w:r>
              <w:rPr>
                <w:rFonts w:ascii="仿宋_GB2312" w:hAnsi="仿宋_GB2312" w:cs="仿宋_GB2312" w:eastAsia="仿宋_GB2312"/>
                <w:sz w:val="21"/>
                <w:b/>
              </w:rPr>
              <w:t>三、付款方式：</w:t>
            </w:r>
          </w:p>
          <w:p>
            <w:pPr>
              <w:pStyle w:val="null3"/>
              <w:ind w:firstLine="422"/>
              <w:jc w:val="both"/>
            </w:pPr>
            <w:r>
              <w:rPr>
                <w:rFonts w:ascii="仿宋_GB2312" w:hAnsi="仿宋_GB2312" w:cs="仿宋_GB2312" w:eastAsia="仿宋_GB2312"/>
                <w:sz w:val="21"/>
                <w:b/>
              </w:rPr>
              <w:t>（</w:t>
            </w:r>
            <w:r>
              <w:rPr>
                <w:rFonts w:ascii="仿宋_GB2312" w:hAnsi="仿宋_GB2312" w:cs="仿宋_GB2312" w:eastAsia="仿宋_GB2312"/>
                <w:sz w:val="21"/>
                <w:b/>
              </w:rPr>
              <w:t>1</w:t>
            </w:r>
            <w:r>
              <w:rPr>
                <w:rFonts w:ascii="仿宋_GB2312" w:hAnsi="仿宋_GB2312" w:cs="仿宋_GB2312" w:eastAsia="仿宋_GB2312"/>
                <w:sz w:val="21"/>
                <w:b/>
              </w:rPr>
              <w:t>）、首付款（合同签订后，一个月内履行付款手续，支付合同总价款的</w:t>
            </w:r>
            <w:r>
              <w:rPr>
                <w:rFonts w:ascii="仿宋_GB2312" w:hAnsi="仿宋_GB2312" w:cs="仿宋_GB2312" w:eastAsia="仿宋_GB2312"/>
                <w:sz w:val="21"/>
                <w:b/>
              </w:rPr>
              <w:t>40%</w:t>
            </w:r>
            <w:r>
              <w:rPr>
                <w:rFonts w:ascii="仿宋_GB2312" w:hAnsi="仿宋_GB2312" w:cs="仿宋_GB2312" w:eastAsia="仿宋_GB2312"/>
                <w:sz w:val="21"/>
                <w:b/>
              </w:rPr>
              <w:t>；）（</w:t>
            </w:r>
            <w:r>
              <w:rPr>
                <w:rFonts w:ascii="仿宋_GB2312" w:hAnsi="仿宋_GB2312" w:cs="仿宋_GB2312" w:eastAsia="仿宋_GB2312"/>
                <w:sz w:val="21"/>
                <w:b/>
              </w:rPr>
              <w:t>2</w:t>
            </w:r>
            <w:r>
              <w:rPr>
                <w:rFonts w:ascii="仿宋_GB2312" w:hAnsi="仿宋_GB2312" w:cs="仿宋_GB2312" w:eastAsia="仿宋_GB2312"/>
                <w:sz w:val="21"/>
                <w:b/>
              </w:rPr>
              <w:t>）、二次付款（合作签订的第九个月，一个月内履行付款手续，支付合同总价款的</w:t>
            </w:r>
            <w:r>
              <w:rPr>
                <w:rFonts w:ascii="仿宋_GB2312" w:hAnsi="仿宋_GB2312" w:cs="仿宋_GB2312" w:eastAsia="仿宋_GB2312"/>
                <w:sz w:val="21"/>
                <w:b/>
              </w:rPr>
              <w:t>40%</w:t>
            </w:r>
            <w:r>
              <w:rPr>
                <w:rFonts w:ascii="仿宋_GB2312" w:hAnsi="仿宋_GB2312" w:cs="仿宋_GB2312" w:eastAsia="仿宋_GB2312"/>
                <w:sz w:val="21"/>
                <w:b/>
              </w:rPr>
              <w:t>；）（</w:t>
            </w:r>
            <w:r>
              <w:rPr>
                <w:rFonts w:ascii="仿宋_GB2312" w:hAnsi="仿宋_GB2312" w:cs="仿宋_GB2312" w:eastAsia="仿宋_GB2312"/>
                <w:sz w:val="21"/>
                <w:b/>
              </w:rPr>
              <w:t>3</w:t>
            </w:r>
            <w:r>
              <w:rPr>
                <w:rFonts w:ascii="仿宋_GB2312" w:hAnsi="仿宋_GB2312" w:cs="仿宋_GB2312" w:eastAsia="仿宋_GB2312"/>
                <w:sz w:val="21"/>
                <w:b/>
              </w:rPr>
              <w:t>）尾款（合同期满且经甲方考核验收格后一个月内履行付款手续，支付剩余合同价款。）</w:t>
            </w:r>
          </w:p>
          <w:p>
            <w:pPr>
              <w:pStyle w:val="null3"/>
              <w:ind w:firstLine="422"/>
              <w:jc w:val="both"/>
            </w:pPr>
            <w:r>
              <w:rPr>
                <w:rFonts w:ascii="仿宋_GB2312" w:hAnsi="仿宋_GB2312" w:cs="仿宋_GB2312" w:eastAsia="仿宋_GB2312"/>
                <w:sz w:val="21"/>
                <w:b/>
              </w:rPr>
              <w:t>（二）结算方式：银行转账。</w:t>
            </w:r>
          </w:p>
          <w:p>
            <w:pPr>
              <w:pStyle w:val="null3"/>
            </w:pPr>
            <w:r>
              <w:rPr>
                <w:rFonts w:ascii="仿宋_GB2312" w:hAnsi="仿宋_GB2312" w:cs="仿宋_GB2312" w:eastAsia="仿宋_GB2312"/>
                <w:sz w:val="21"/>
                <w:b/>
              </w:rPr>
              <w:t>（三）支付方式：由甲方负责结算，合同签订后，乙方在接受付款前，开具全额发票给甲方。</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满足项目最低需要</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满足项目最低需要</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满足项目最低需要</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2026年8月1日至2027年7月31日（具体项目周期以正式合同为准）</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乙方提供地点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以实际合同签订为准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 首付款：合同签订后合同签订后 ，达到付款条件起30个工作日内，支付合同总金额的40.0%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进度款，二次付款：合作签订的第九个月，达到付款条件起30个工作日内，支付合同总金额的40.0%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进度款，尾款：合同期满且经甲方考核验收格后，达到付款条件起30个工作日内，支付合同总金额的20.0%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（一）按《民法典》中的相关条款执行。 （二）按合同要求提供服务或服务质量不能满足采购技术要求，乙方必须无条件提高技术，完善服务质量，否则，甲方会同监督机构、采购代理机构有权终止合同并对乙方违约行为进行追究，同时按政府采购投标人管理办法进行相应的处罚。 （三）任何一方因不可抗力原因不能履行协议时，应尽快通知对方，双方均设法补偿。如仍无法履约协议，可协商延缓或撤销协议，双方责任免除。 （四）合同争议解决的方式 本合同在履行过程中发生的争议，由甲、乙双方当事人协商解决，协商不成的按下列第（2）种方式解决： （1）提交西安仲裁委员会仲裁； （2）依法向甲方所在地人民法院起诉。</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付款方式说明：因电子化交易系统设置、本章3.3.5条款（支付约定）无法修改，若出现本章3.3.5条款（支付约定）与拟签订合同文本及采购需求中付款方式不一致时，以拟签订合同条款及采购需求中的付款方式为准。 3.4.2、采购标的对应的中小企业划分标准所属行业为其他未列明行业。 划型标准为：从业人员300人以下的为中小微型企业。其中，从业人员100人及以上的为中型企业；从业人员10人及以上的为小型企业；从业人员10人以下的为微型企业。 3.4.3、需要落实的政府采购政策：（1）《国务院办公厅关于建立政府强制采购节能产品制度的通知》（国办发〔2007〕51号）；（2）《财政部 司法部关于政府采购支持监狱企业发展有关问题的通知》（财库〔2014〕68号）；（3）《三部门联合发布关于促进残疾人就业政府采购政策的通知》（财库〔2017〕141号）；（4）《财政部 发展改革委 生态环境部 市场监管总局关于调整优化节能产品、环境标志产品政府采购执行机制的通知》（财库〔2019〕9号）；（5）《关于运用政府采购政策支持乡村产业振兴的通知》（财库〔2021〕19号）；（6）《政府采购促进中小企业发展管理办法》（财库〔2020〕46号）；（7）陕西省财政厅关于印发《陕西省中小企业政府采购信用融资办法》（陕财办采〔2018〕23号）；（8）《关于进一步加大政府采购支持中小企业力度的通知》（财库〔2022〕19号）；（9）《关于扩大政府采购支持绿色建材促进建筑品质提升政策实施范围的通知》（财库〔2022〕35号）；（10）《国务院办公厅关于在政府采购中实施本国产品标准及相关政策的通知》（国办发〔2025〕34号）；（11）其他需要落实的政府采购政策。 3.4.4、根据陕西省财政厅关于印发《陕西省预算单位政府采购主体责任清单》的通知中的“应按照采购文件和中标（成交）人投标（响应）文件，在中标（成交）通知书发出之日起 25 日内签订合同，并进行备案和公示。”若招标文件其他地方与此条出现不一致的，以此处的要求为准。 3.4.5中标单位在领取中标通知书时，需提交纸质投标文件正本一份（投标文件为上传至系统后签字盖章的PDF版文件打印版），具体要求详见公告。</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二、资格证明文件.docx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二、资格证明文件.docx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具有独立承担民事责任能力的法人、其他组织或自然人：法人或者其他组织提供营业执照等证明文件，自然人提供身份证件，供应商需在项目电子化交易系统中按要求上传相应证明文件并进行电子签章；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二、资格证明文件.docx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税收缴纳凭证及社会保险缴纳的凭证</w:t>
            </w:r>
          </w:p>
        </w:tc>
        <w:tc>
          <w:tcPr>
            <w:tcW w:type="dxa" w:w="3322"/>
          </w:tcPr>
          <w:p>
            <w:pPr>
              <w:pStyle w:val="null3"/>
            </w:pPr>
            <w:r>
              <w:rPr>
                <w:rFonts w:ascii="仿宋_GB2312" w:hAnsi="仿宋_GB2312" w:cs="仿宋_GB2312" w:eastAsia="仿宋_GB2312"/>
              </w:rPr>
              <w:t>税收缴纳凭证及社会保险缴纳的凭证：供应商在本项目投标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或提供《基本资格条件承诺函》；供应商需在项目电子化交易系统中按要求上传相应证明文件；</w:t>
            </w:r>
          </w:p>
        </w:tc>
        <w:tc>
          <w:tcPr>
            <w:tcW w:type="dxa" w:w="1661"/>
          </w:tcPr>
          <w:p>
            <w:pPr>
              <w:pStyle w:val="null3"/>
            </w:pPr>
            <w:r>
              <w:rPr>
                <w:rFonts w:ascii="仿宋_GB2312" w:hAnsi="仿宋_GB2312" w:cs="仿宋_GB2312" w:eastAsia="仿宋_GB2312"/>
              </w:rPr>
              <w:t>二、资格证明文件.docx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供应商提供2025年度经审计的财务审计报告（事业法人可提供部门决算报告），经审计的财务报告应满足以下要求：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或提供供应商基本账户银行出具的递交投标文件截止时间前六个月内的资信证明及供应商基本存款账户开户许可证（或基本存款账户信息））或提供专业担保机构出具的投标担保函；或提供《基本资格条件承诺函》；供应商需在项目电子化交易系统中按要求上传相应证明文件；供应商需在项目电子化交易系统中按要求上传相应证明文件</w:t>
            </w:r>
          </w:p>
        </w:tc>
        <w:tc>
          <w:tcPr>
            <w:tcW w:type="dxa" w:w="1661"/>
          </w:tcPr>
          <w:p>
            <w:pPr>
              <w:pStyle w:val="null3"/>
            </w:pPr>
            <w:r>
              <w:rPr>
                <w:rFonts w:ascii="仿宋_GB2312" w:hAnsi="仿宋_GB2312" w:cs="仿宋_GB2312" w:eastAsia="仿宋_GB2312"/>
              </w:rPr>
              <w:t>二、资格证明文件.docx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参加政府采购活动前3年内在经营活动中没有重大违法记录的书面声明； 其中：重大违法记录是指供应商因违法经营受到刑事处罚或者责令停产停业、吊销许可证或者执照、较大数额罚款等行政处罚</w:t>
            </w:r>
          </w:p>
        </w:tc>
        <w:tc>
          <w:tcPr>
            <w:tcW w:type="dxa" w:w="3322"/>
          </w:tcPr>
          <w:p>
            <w:pPr>
              <w:pStyle w:val="null3"/>
            </w:pPr>
            <w:r>
              <w:rPr>
                <w:rFonts w:ascii="仿宋_GB2312" w:hAnsi="仿宋_GB2312" w:cs="仿宋_GB2312" w:eastAsia="仿宋_GB2312"/>
              </w:rPr>
              <w:t>参加政府采购活动前3年内在经营活动中没有重大违法记录的书面声明； 其中：重大违法记录是指供应商因违法经营受到刑事处罚或者责令停产停业、吊销许可证或者执照、较大数额罚款等行政处罚。或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二、资格证明文件.docx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履行合同所必需的设备和专业技术能力书面声明函</w:t>
            </w:r>
          </w:p>
        </w:tc>
        <w:tc>
          <w:tcPr>
            <w:tcW w:type="dxa" w:w="3322"/>
          </w:tcPr>
          <w:p>
            <w:pPr>
              <w:pStyle w:val="null3"/>
            </w:pPr>
            <w:r>
              <w:rPr>
                <w:rFonts w:ascii="仿宋_GB2312" w:hAnsi="仿宋_GB2312" w:cs="仿宋_GB2312" w:eastAsia="仿宋_GB2312"/>
              </w:rPr>
              <w:t>具有履行合同所必需的设备和专业技术能力书面声明函：或提供《基本资格条件承诺函》；供应商需在项目电子化交易系统中按要求上传相应证明文件并进行电子签章；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二、资格证明文件.docx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信用状况</w:t>
            </w:r>
          </w:p>
        </w:tc>
        <w:tc>
          <w:tcPr>
            <w:tcW w:type="dxa" w:w="3322"/>
          </w:tcPr>
          <w:p>
            <w:pPr>
              <w:pStyle w:val="null3"/>
            </w:pPr>
            <w:r>
              <w:rPr>
                <w:rFonts w:ascii="仿宋_GB2312" w:hAnsi="仿宋_GB2312" w:cs="仿宋_GB2312" w:eastAsia="仿宋_GB2312"/>
              </w:rPr>
              <w:t>供应商信用状况：不得为“信用中国”网站（www.creditchina.gov.cn）中列入失信被执行人和重大税收违法失信主体的供应商，不得为中国政府采购网（www.ccgp.gov.cn）政府采购严重违法失信行为记录名单中被财政部门禁止参加政府采购活动的供应商，以投标文件递交截止时间后的网站查询记录为准；</w:t>
            </w:r>
          </w:p>
        </w:tc>
        <w:tc>
          <w:tcPr>
            <w:tcW w:type="dxa" w:w="1661"/>
          </w:tcPr>
          <w:p>
            <w:pPr>
              <w:pStyle w:val="null3"/>
            </w:pPr>
            <w:r>
              <w:rPr>
                <w:rFonts w:ascii="仿宋_GB2312" w:hAnsi="仿宋_GB2312" w:cs="仿宋_GB2312" w:eastAsia="仿宋_GB2312"/>
              </w:rPr>
              <w:t>二、资格证明文件.docx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二、资格证明文件.docx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政府采购异常低价审查：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一、法定代表人身份证明及法定代表人授权委托书.docx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投标文件报价</w:t>
            </w:r>
          </w:p>
        </w:tc>
        <w:tc>
          <w:tcPr>
            <w:tcW w:type="dxa" w:w="3322"/>
          </w:tcPr>
          <w:p>
            <w:pPr>
              <w:pStyle w:val="null3"/>
            </w:pPr>
            <w:r>
              <w:rPr>
                <w:rFonts w:ascii="仿宋_GB2312" w:hAnsi="仿宋_GB2312" w:cs="仿宋_GB2312" w:eastAsia="仿宋_GB2312"/>
              </w:rPr>
              <w:t>内容无重大缺漏项，报价唯一，且没有高于采购预算。</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座席人员配备承诺函</w:t>
            </w:r>
          </w:p>
        </w:tc>
        <w:tc>
          <w:tcPr>
            <w:tcW w:type="dxa" w:w="3322"/>
          </w:tcPr>
          <w:p>
            <w:pPr>
              <w:pStyle w:val="null3"/>
            </w:pPr>
            <w:r>
              <w:rPr>
                <w:rFonts w:ascii="仿宋_GB2312" w:hAnsi="仿宋_GB2312" w:cs="仿宋_GB2312" w:eastAsia="仿宋_GB2312"/>
              </w:rPr>
              <w:t>承诺座席人员数量符合招标文件要求，以供应商提供的承诺函为准</w:t>
            </w:r>
          </w:p>
        </w:tc>
        <w:tc>
          <w:tcPr>
            <w:tcW w:type="dxa" w:w="1661"/>
          </w:tcPr>
          <w:p>
            <w:pPr>
              <w:pStyle w:val="null3"/>
            </w:pPr>
            <w:r>
              <w:rPr>
                <w:rFonts w:ascii="仿宋_GB2312" w:hAnsi="仿宋_GB2312" w:cs="仿宋_GB2312" w:eastAsia="仿宋_GB2312"/>
              </w:rPr>
              <w:t>三、服务方案及商务响应部分.docx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投标文件的签署、加盖印章合格、有效；</w:t>
            </w:r>
          </w:p>
        </w:tc>
        <w:tc>
          <w:tcPr>
            <w:tcW w:type="dxa" w:w="1661"/>
          </w:tcPr>
          <w:p>
            <w:pPr>
              <w:pStyle w:val="null3"/>
            </w:pPr>
            <w:r>
              <w:rPr>
                <w:rFonts w:ascii="仿宋_GB2312" w:hAnsi="仿宋_GB2312" w:cs="仿宋_GB2312" w:eastAsia="仿宋_GB2312"/>
              </w:rPr>
              <w:t>开标一览表 五、关于符合本国产品标准的声明函.docx 投标函 中小企业声明函 残疾人福利性单位声明函 二、资格证明文件.docx 标的清单 投标文件封面 四、承诺书.docx 一、法定代表人身份证明及法定代表人授权委托书.docx 监狱企业的证明文件 三、服务方案及商务响应部分.docx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项目周期（服务期）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标的清单 三、服务方案及商务响应部分.docx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服务地点</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标的清单 三、服务方案及商务响应部分.docx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供应商不存在有法律、规章、规范性文件和招标文件规定的其他无效情形，否则按无效响应处理</w:t>
            </w:r>
          </w:p>
        </w:tc>
        <w:tc>
          <w:tcPr>
            <w:tcW w:type="dxa" w:w="3322"/>
          </w:tcPr>
          <w:p>
            <w:pPr>
              <w:pStyle w:val="null3"/>
            </w:pPr>
            <w:r>
              <w:rPr>
                <w:rFonts w:ascii="仿宋_GB2312" w:hAnsi="仿宋_GB2312" w:cs="仿宋_GB2312" w:eastAsia="仿宋_GB2312"/>
              </w:rPr>
              <w:t>供应商不存在有法律、规章、规范性文件和招标文件规定的其他无效情形，否则按无效响应处理。</w:t>
            </w:r>
          </w:p>
        </w:tc>
        <w:tc>
          <w:tcPr>
            <w:tcW w:type="dxa" w:w="1661"/>
          </w:tcPr>
          <w:p>
            <w:pPr>
              <w:pStyle w:val="null3"/>
            </w:pPr>
            <w:r>
              <w:rPr>
                <w:rFonts w:ascii="仿宋_GB2312" w:hAnsi="仿宋_GB2312" w:cs="仿宋_GB2312" w:eastAsia="仿宋_GB2312"/>
              </w:rPr>
              <w:t>开标一览表 五、关于符合本国产品标准的声明函.docx 投标函 中小企业声明函 残疾人福利性单位声明函 二、资格证明文件.docx 标的清单 投标文件封面 四、承诺书.docx 一、法定代表人身份证明及法定代表人授权委托书.docx 监狱企业的证明文件 三、服务方案及商务响应部分.docx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围标串标行为</w:t>
            </w:r>
          </w:p>
        </w:tc>
        <w:tc>
          <w:tcPr>
            <w:tcW w:type="dxa" w:w="3322"/>
          </w:tcPr>
          <w:p>
            <w:pPr>
              <w:pStyle w:val="null3"/>
            </w:pPr>
            <w:r>
              <w:rPr>
                <w:rFonts w:ascii="仿宋_GB2312" w:hAnsi="仿宋_GB2312" w:cs="仿宋_GB2312" w:eastAsia="仿宋_GB2312"/>
              </w:rPr>
              <w:t>供应商不得有以下情形： （一）不同供应商的投标文件由同一单位或者个 人编制； （二）不同供应商委托同一单位或者个人办理投 标事宜； （三）不同供应商的投标文件载明的项目管理成 员或者联系人员为同一人； （四）不同供应商的投标文件异常一致或者投标 报价呈规律性差异； （五）不同供应商的投标文件相互混装。 （六）不同投标人的投标保证金从同一单位或者 个人的账户转出。（如有）</w:t>
            </w:r>
          </w:p>
        </w:tc>
        <w:tc>
          <w:tcPr>
            <w:tcW w:type="dxa" w:w="1661"/>
          </w:tcPr>
          <w:p>
            <w:pPr>
              <w:pStyle w:val="null3"/>
            </w:pPr>
            <w:r>
              <w:rPr>
                <w:rFonts w:ascii="仿宋_GB2312" w:hAnsi="仿宋_GB2312" w:cs="仿宋_GB2312" w:eastAsia="仿宋_GB2312"/>
              </w:rPr>
              <w:t>开标一览表 五、关于符合本国产品标准的声明函.docx 投标函 中小企业声明函 残疾人福利性单位声明函 二、资格证明文件.docx 标的清单 投标文件封面 四、承诺书.docx 一、法定代表人身份证明及法定代表人授权委托书.docx 监狱企业的证明文件 三、服务方案及商务响应部分.docx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供应商提供自2023年1月1日起至今类似项目业绩，业绩以合同为准。（时间以签订的合同日期为准）,每份计2分，,最高得10分。注：合同内容须清晰可辨认，否则视为无效合同</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三、服务方案及商务响应部分.docx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供应商拟投入本项目的项目负责人（或项目经理）具有“二级及以上企业人力资源管理师”证书得7分，具有“三级企业人力资源管理师”证书得5分，具有“四级企业人力资源管理师”证书得3分，同时提供其与投标供应商签订的有效劳动合同，缺少证书或劳动合同均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三、服务方案及商务响应部分.docx</w:t>
            </w:r>
          </w:p>
        </w:tc>
      </w:tr>
      <w:tr>
        <w:tc>
          <w:tcPr>
            <w:tcW w:type="dxa" w:w="831"/>
            <w:vMerge/>
          </w:tcPr>
          <w:p/>
        </w:tc>
        <w:tc>
          <w:tcPr>
            <w:tcW w:type="dxa" w:w="1661"/>
          </w:tcPr>
          <w:p>
            <w:pPr>
              <w:pStyle w:val="null3"/>
            </w:pPr>
            <w:r>
              <w:rPr>
                <w:rFonts w:ascii="仿宋_GB2312" w:hAnsi="仿宋_GB2312" w:cs="仿宋_GB2312" w:eastAsia="仿宋_GB2312"/>
              </w:rPr>
              <w:t>项目团队组织机构</w:t>
            </w:r>
          </w:p>
        </w:tc>
        <w:tc>
          <w:tcPr>
            <w:tcW w:type="dxa" w:w="2492"/>
          </w:tcPr>
          <w:p>
            <w:pPr>
              <w:pStyle w:val="null3"/>
            </w:pPr>
            <w:r>
              <w:rPr>
                <w:rFonts w:ascii="仿宋_GB2312" w:hAnsi="仿宋_GB2312" w:cs="仿宋_GB2312" w:eastAsia="仿宋_GB2312"/>
              </w:rPr>
              <w:t>（1）供应商有服务于本项目的项目团队组织机构，至少 包含但不限于以下人员： ①项目负责人1（或项目经理：负责本项目整体协调及对接采购人） ②人力资源管理人员2名，且需具备4级及以上企业人力资源管理证书。 （人事管理人员：负责座席人员的招聘、解聘、日常考核 ③财务管理人员2名：负责座席人员的工资核算、工资发放、社保缴纳等事项 ④培训人员2名：主要负责日常为座席人员进行业务及政策培训。 （2）项目负责人必须提供否则本项不得分。 （3）满足以上项目组织机构人员要求得15分，否则不得分； （4）人力资源管理人员每增加1人且具有四级及以上企业人力资源管理证书，加1分，最多加1分； 财务管理人员或培训人员，每增加1人加1分，最多加2分； 供应商提供项目团队组织机构人员列表，同时需提供项目团队组织机构人员的劳动合同，否则本项不得分。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三、服务方案及商务响应部分.docx</w:t>
            </w:r>
          </w:p>
        </w:tc>
      </w:tr>
      <w:tr>
        <w:tc>
          <w:tcPr>
            <w:tcW w:type="dxa" w:w="831"/>
            <w:vMerge/>
          </w:tcPr>
          <w:p/>
        </w:tc>
        <w:tc>
          <w:tcPr>
            <w:tcW w:type="dxa" w:w="1661"/>
          </w:tcPr>
          <w:p>
            <w:pPr>
              <w:pStyle w:val="null3"/>
            </w:pPr>
            <w:r>
              <w:rPr>
                <w:rFonts w:ascii="仿宋_GB2312" w:hAnsi="仿宋_GB2312" w:cs="仿宋_GB2312" w:eastAsia="仿宋_GB2312"/>
              </w:rPr>
              <w:t>办公场地</w:t>
            </w:r>
          </w:p>
        </w:tc>
        <w:tc>
          <w:tcPr>
            <w:tcW w:type="dxa" w:w="2492"/>
          </w:tcPr>
          <w:p>
            <w:pPr>
              <w:pStyle w:val="null3"/>
            </w:pPr>
            <w:r>
              <w:rPr>
                <w:rFonts w:ascii="仿宋_GB2312" w:hAnsi="仿宋_GB2312" w:cs="仿宋_GB2312" w:eastAsia="仿宋_GB2312"/>
              </w:rPr>
              <w:t>供应商有服务于本项目的办公场地，必须包含坐座服务办公区域，供应商提供相应佐证材料予以佐证（佐证材料包括①房屋租赁合同或房产证 ②座席办公场地照片），缺少1项证明材料不得分；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三、服务方案及商务响应部分.docx</w:t>
            </w:r>
          </w:p>
        </w:tc>
      </w:tr>
      <w:tr>
        <w:tc>
          <w:tcPr>
            <w:tcW w:type="dxa" w:w="831"/>
            <w:vMerge/>
          </w:tcPr>
          <w:p/>
        </w:tc>
        <w:tc>
          <w:tcPr>
            <w:tcW w:type="dxa" w:w="1661"/>
          </w:tcPr>
          <w:p>
            <w:pPr>
              <w:pStyle w:val="null3"/>
            </w:pPr>
            <w:r>
              <w:rPr>
                <w:rFonts w:ascii="仿宋_GB2312" w:hAnsi="仿宋_GB2312" w:cs="仿宋_GB2312" w:eastAsia="仿宋_GB2312"/>
              </w:rPr>
              <w:t>设备配备</w:t>
            </w:r>
          </w:p>
        </w:tc>
        <w:tc>
          <w:tcPr>
            <w:tcW w:type="dxa" w:w="2492"/>
          </w:tcPr>
          <w:p>
            <w:pPr>
              <w:pStyle w:val="null3"/>
            </w:pPr>
            <w:r>
              <w:rPr>
                <w:rFonts w:ascii="仿宋_GB2312" w:hAnsi="仿宋_GB2312" w:cs="仿宋_GB2312" w:eastAsia="仿宋_GB2312"/>
              </w:rPr>
              <w:t>供应商有服务于本项目的办公设备，包括但不限于电脑、话机、耳机、交换机。 供应商需提供以上设备清单，主要包含：设备名称、品牌型号规格、数量、设备图片； 未提供设备清单的不得分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三、服务方案及商务响应部分.docx</w:t>
            </w:r>
          </w:p>
        </w:tc>
      </w:tr>
      <w:tr>
        <w:tc>
          <w:tcPr>
            <w:tcW w:type="dxa" w:w="831"/>
            <w:vMerge/>
          </w:tcPr>
          <w:p/>
        </w:tc>
        <w:tc>
          <w:tcPr>
            <w:tcW w:type="dxa" w:w="1661"/>
          </w:tcPr>
          <w:p>
            <w:pPr>
              <w:pStyle w:val="null3"/>
            </w:pPr>
            <w:r>
              <w:rPr>
                <w:rFonts w:ascii="仿宋_GB2312" w:hAnsi="仿宋_GB2312" w:cs="仿宋_GB2312" w:eastAsia="仿宋_GB2312"/>
              </w:rPr>
              <w:t>服务响应时限</w:t>
            </w:r>
          </w:p>
        </w:tc>
        <w:tc>
          <w:tcPr>
            <w:tcW w:type="dxa" w:w="2492"/>
          </w:tcPr>
          <w:p>
            <w:pPr>
              <w:pStyle w:val="null3"/>
            </w:pPr>
            <w:r>
              <w:rPr>
                <w:rFonts w:ascii="仿宋_GB2312" w:hAnsi="仿宋_GB2312" w:cs="仿宋_GB2312" w:eastAsia="仿宋_GB2312"/>
              </w:rPr>
              <w:t>社保、医保电话座席及微信公众号服务的响应时间：社保、医保电话座席在30-40秒内接起，微信公众号响应在1.5-2小时，得2分； 社保、医保电话座席在20-30秒内接起，微信公众号响应在1-1.5小时，得3分； 社保、医保电话座席在10-20秒内接起，微信公众号响应在0.5-1小时，得4分； 社保、医保电话座席在0-10秒内接起，微信公众号响应在0-0.5小时，得5分； 以供应商承诺函为准。 其余情况或未提供此项不得分。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三、服务方案及商务响应部分.docx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针对本项目提出适用于本项目的总体方案，总体方案包括：①座席电话服务方案②微信公众号运维服务方案③政务大厅驻场服务方案；④ 座席人员招聘、解聘、纠纷处理、日常管理、考核方案 二、赋分标准（满分16分） 以上4项内容：每项方案各项内容全面详细、阐述条理清晰、针对性强，实施性科学合理，能完全满足采购人要求。每项满分4分，缺项不得分；每存在一个缺陷，扣1分，扣完为止。 备注：缺陷是指内容不合理、虽有内容但不完善、内容相对简单不详细、内容表述前后不一致、套用其他项目方案或与项目需求不匹配及其他不利于项目实施的任意一种情形。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三、服务方案及商务响应部分.docx</w:t>
            </w:r>
          </w:p>
        </w:tc>
      </w:tr>
      <w:tr>
        <w:tc>
          <w:tcPr>
            <w:tcW w:type="dxa" w:w="831"/>
            <w:vMerge/>
          </w:tcPr>
          <w:p/>
        </w:tc>
        <w:tc>
          <w:tcPr>
            <w:tcW w:type="dxa" w:w="1661"/>
          </w:tcPr>
          <w:p>
            <w:pPr>
              <w:pStyle w:val="null3"/>
            </w:pPr>
            <w:r>
              <w:rPr>
                <w:rFonts w:ascii="仿宋_GB2312" w:hAnsi="仿宋_GB2312" w:cs="仿宋_GB2312" w:eastAsia="仿宋_GB2312"/>
              </w:rPr>
              <w:t>岗位培训</w:t>
            </w:r>
          </w:p>
        </w:tc>
        <w:tc>
          <w:tcPr>
            <w:tcW w:type="dxa" w:w="2492"/>
          </w:tcPr>
          <w:p>
            <w:pPr>
              <w:pStyle w:val="null3"/>
            </w:pPr>
            <w:r>
              <w:rPr>
                <w:rFonts w:ascii="仿宋_GB2312" w:hAnsi="仿宋_GB2312" w:cs="仿宋_GB2312" w:eastAsia="仿宋_GB2312"/>
              </w:rPr>
              <w:t>一、评审内容 针对座席人员、驻场人员、微信服务运维人员的工作特点和管理需要进行培训，培训内容包含：①业务培训及投诉培训的内容②培训周期及计划、培训人员等； 二、赋分标准（满分8分） 以上2项内容：每项方案各项内容全面详细、阐述条理清晰、针对性强，实施性科学合理，能完全满足采购人要求。每项满分4分，缺项不得分；每存在一个缺陷，扣1分，扣完为止。 备注：缺陷是指内容不合理、虽有内容但不完善、内容相对简单不详细、内容表述前后不一致、套用其他项目方案或与项目需求不匹配及其他不利于项目实施的任意一种情形。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三、服务方案及商务响应部分.docx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针对本项目提出适用于本项目的应急预案，应急预案包括：①如遇政策业务发生重大变化等情形的处理措施②供应商根据自身过往业务经验设想可能遇见的其他紧急情形并针对此情形提出应对措施； 二、赋分标准（满分8分） 以上2项内容：每项方案各项内容全面详细、阐述条理清晰、针对性强，实施性科学合理，能完全满足采购人要求。每项满分4分，缺项不得分；每存在一个缺陷，扣1分，扣完为止。 备注：缺陷是指内容不合理、虽有内容但不完善、内容相对简单不详细、内容表述前后不一致、套用其他项目方案或与项目需求不匹配及其他不利于项目实施的任意一种情形。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三、服务方案及商务响应部分.docx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根据本项目提出服务质量保证措施，内容包括：①保密制度②电话接通率、通话情况满意度、答复准确性等保证措施； 二、赋分标准（满分8分） 以上2项内容：每项方案各项内容全面详细、阐述条理清晰、针对性强，实施性科学合理，能完全满足采购人要求。①保密制度满分3分；②电话接通率、通话情况满意度、答复准确性等保证措施，满分5分； 缺项不得分；每项存在一个缺陷，扣1分，扣完为止。 备注：缺陷是指内容不合理、虽有内容但不完善、内容相对简单不详细、内容表述前后不一致、套用其他项目方案或与项目需求不匹配及其他不利于项目实施的任意一种情形。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三、服务方案及商务响应部分.docx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采用低价优先法计算，即通过符合性审查且价格最低的有效投标报价为评标基准价，其价格分为满分。投标报价得分＝（评标基准价/投标报价）×10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详见附件：一、法定代表人身份证明及法定代表人授权委托书.docx</w:t>
      </w:r>
    </w:p>
    <w:p>
      <w:pPr>
        <w:pStyle w:val="null3"/>
        <w:ind w:firstLine="960"/>
      </w:pPr>
      <w:r>
        <w:rPr>
          <w:rFonts w:ascii="仿宋_GB2312" w:hAnsi="仿宋_GB2312" w:cs="仿宋_GB2312" w:eastAsia="仿宋_GB2312"/>
        </w:rPr>
        <w:t>详见附件：二、资格证明文件.docx</w:t>
      </w:r>
    </w:p>
    <w:p>
      <w:pPr>
        <w:pStyle w:val="null3"/>
        <w:ind w:firstLine="960"/>
      </w:pPr>
      <w:r>
        <w:rPr>
          <w:rFonts w:ascii="仿宋_GB2312" w:hAnsi="仿宋_GB2312" w:cs="仿宋_GB2312" w:eastAsia="仿宋_GB2312"/>
        </w:rPr>
        <w:t>详见附件：三、服务方案及商务响应部分.docx</w:t>
      </w:r>
    </w:p>
    <w:p>
      <w:pPr>
        <w:pStyle w:val="null3"/>
        <w:ind w:firstLine="960"/>
      </w:pPr>
      <w:r>
        <w:rPr>
          <w:rFonts w:ascii="仿宋_GB2312" w:hAnsi="仿宋_GB2312" w:cs="仿宋_GB2312" w:eastAsia="仿宋_GB2312"/>
        </w:rPr>
        <w:t>详见附件：四、承诺书.docx</w:t>
      </w:r>
    </w:p>
    <w:p>
      <w:pPr>
        <w:pStyle w:val="null3"/>
        <w:ind w:firstLine="960"/>
      </w:pPr>
      <w:r>
        <w:rPr>
          <w:rFonts w:ascii="仿宋_GB2312" w:hAnsi="仿宋_GB2312" w:cs="仿宋_GB2312" w:eastAsia="仿宋_GB2312"/>
        </w:rPr>
        <w:t>详见附件：五、关于符合本国产品标准的声明函.docx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详见附件：合同主要条款及拟签订的合同文本.docx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