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版本号：SXDZ2026-ZC-CS01120260701001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李家河水源地远程视频智能预警系统一期运维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SXDZ2026-ZC-CS011</w:t>
      </w:r>
      <w:r>
        <w:br/>
      </w:r>
      <w:r>
        <w:br/>
      </w:r>
      <w:r>
        <w:br/>
      </w:r>
    </w:p>
    <w:p>
      <w:pPr>
        <w:pStyle w:val="null3"/>
        <w:jc w:val="center"/>
        <w:outlineLvl w:val="2"/>
      </w:pPr>
      <w:r>
        <w:rPr>
          <w:rFonts w:ascii="仿宋_GB2312" w:hAnsi="仿宋_GB2312" w:cs="仿宋_GB2312" w:eastAsia="仿宋_GB2312"/>
          <w:sz w:val="28"/>
          <w:b/>
        </w:rPr>
        <w:t>西安市李家河水源地环境保护管理站</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西安市李家河水源地环境保护管理站</w:t>
      </w:r>
      <w:r>
        <w:rPr>
          <w:rFonts w:ascii="仿宋_GB2312" w:hAnsi="仿宋_GB2312" w:cs="仿宋_GB2312" w:eastAsia="仿宋_GB2312"/>
        </w:rPr>
        <w:t>委托，拟对</w:t>
      </w:r>
      <w:r>
        <w:rPr>
          <w:rFonts w:ascii="仿宋_GB2312" w:hAnsi="仿宋_GB2312" w:cs="仿宋_GB2312" w:eastAsia="仿宋_GB2312"/>
        </w:rPr>
        <w:t>李家河水源地远程视频智能预警系统一期运维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SXDZ2026-ZC-CS011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李家河水源地远程视频智能预警系统一期运维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李家河水源地远程视频监控智能预警系统运维项目（一期），于2019年12月建成使用，通过远程视频监控实现24小时对水源地监管。为了使项目投资设备能正常运行并发挥其在环境保护中的作用，并延长设备的使用寿命，使其长期为水源地管理服务。特建立长期的运维管理机制。本次涉及项目常规运行、维修维护、常规保护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采购包1（李家河水源地远程视频智能预警系统一期运维）：属于专门面向中小企业采购。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1、主体证明文件：响应供应商需提供有效合格的具有统一社会信用代码的营业执照，其他组织经营的须提供合法凭证，自然人提供身份证明文件。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2、法定代表人身份证明/法定代表人授权委托书：法定代表人参加投标的，须提供本人身份证加盖公章的复印件；法定代表人授权他人参加投标的，须提供法定代表人授权委托书及被授权代表的身份证复印件。</w:t>
      </w:r>
    </w:p>
    <w:p>
      <w:pPr>
        <w:pStyle w:val="null3"/>
      </w:pPr>
      <w:r>
        <w:rPr>
          <w:rFonts w:ascii="仿宋_GB2312" w:hAnsi="仿宋_GB2312" w:cs="仿宋_GB2312" w:eastAsia="仿宋_GB2312"/>
        </w:rPr>
        <w:t>3、财务状况：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p>
      <w:pPr>
        <w:pStyle w:val="null3"/>
      </w:pPr>
      <w:r>
        <w:rPr>
          <w:rFonts w:ascii="仿宋_GB2312" w:hAnsi="仿宋_GB2312" w:cs="仿宋_GB2312" w:eastAsia="仿宋_GB2312"/>
        </w:rPr>
        <w:t>4、依法缴纳税收的证明：提供供应商2025年6月1日以来任意一个月已缴纳的纳税证明或完税证明（至少包含增值税或企业所得税），依法免税的供应商应提供加盖公章的相关证明文件。</w:t>
      </w:r>
    </w:p>
    <w:p>
      <w:pPr>
        <w:pStyle w:val="null3"/>
      </w:pPr>
      <w:r>
        <w:rPr>
          <w:rFonts w:ascii="仿宋_GB2312" w:hAnsi="仿宋_GB2312" w:cs="仿宋_GB2312" w:eastAsia="仿宋_GB2312"/>
        </w:rPr>
        <w:t>5、依法缴纳社保的证明：提供供应商2025年6月1日以来任意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6、具备履行合同所必需的设备和专业技术能力的承诺：提供具有履行合同所必需的设备和专业技术能力的承诺。</w:t>
      </w:r>
    </w:p>
    <w:p>
      <w:pPr>
        <w:pStyle w:val="null3"/>
      </w:pPr>
      <w:r>
        <w:rPr>
          <w:rFonts w:ascii="仿宋_GB2312" w:hAnsi="仿宋_GB2312" w:cs="仿宋_GB2312" w:eastAsia="仿宋_GB2312"/>
        </w:rPr>
        <w:t>7、信用查询：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8、控股管理关系及其他：单位负责人为同一人或者存在直接控股、管理关系的不同供应商，不得参加本次采购活动。</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西安市李家河水源地环境保护管理站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蓝田县辋川镇山底村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029-82815908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西安市莲湖区御笔城市广场3号楼408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成交供应商在领取成交通知书前，须向采购代理机构一次性支付招标代理服务费。 （为保证招标代理机构合理成本，若代理服务费按照该计价方式不足8000元的，按照8000元计取） 接收代理服务费账户名称：陕西东卓项目管理有限公司 开户银行：中国银行股份有限公司西安经济技术开发区支行 账号：102494375315 转账事由：（项目名称）代理服务费 咨询电话：029-86637322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西安市李家河水源地环境保护管理站</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西安市李家河水源地环境保护管理站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西安市李家河水源地环境保护管理站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（1）合同条款；（2）磋商文件；（3）响应文件；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联系电话：029-86637322</w:t>
      </w:r>
    </w:p>
    <w:p>
      <w:pPr>
        <w:pStyle w:val="null3"/>
      </w:pPr>
      <w:r>
        <w:rPr>
          <w:rFonts w:ascii="仿宋_GB2312" w:hAnsi="仿宋_GB2312" w:cs="仿宋_GB2312" w:eastAsia="仿宋_GB2312"/>
        </w:rPr>
        <w:t>地址：西安市莲湖区御笔城市广场3号楼408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李家河水源地远程视频监控智能预警系统运维项目（一期），于2019年12月建成使用，通过远程视频监控实现24小时对水源地监管。为了使项目投资设备能正常运行并发挥其在环境保护中的作用，并延长设备的使用寿命，使其长期为水源地管理服务。特建立长期的运维管理机制。本次涉及项目常规运行、维修维护、常规保护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李家河水源地远程视频智能预警系统一期运维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标的名称：李家河水源地远程视频智能预警系统一期运维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一、项目概况</w:t>
            </w:r>
          </w:p>
          <w:p>
            <w:pPr>
              <w:pStyle w:val="null3"/>
              <w:ind w:firstLine="560"/>
              <w:jc w:val="both"/>
            </w:pPr>
            <w:r>
              <w:rPr>
                <w:rFonts w:ascii="仿宋_GB2312" w:hAnsi="仿宋_GB2312" w:cs="仿宋_GB2312" w:eastAsia="仿宋_GB2312"/>
                <w:sz w:val="28"/>
              </w:rPr>
              <w:t>李家河水源地远程视频监控智能预警系统运维项目</w:t>
            </w:r>
            <w:r>
              <w:rPr>
                <w:rFonts w:ascii="仿宋_GB2312" w:hAnsi="仿宋_GB2312" w:cs="仿宋_GB2312" w:eastAsia="仿宋_GB2312"/>
                <w:sz w:val="28"/>
              </w:rPr>
              <w:t>（</w:t>
            </w:r>
            <w:r>
              <w:rPr>
                <w:rFonts w:ascii="仿宋_GB2312" w:hAnsi="仿宋_GB2312" w:cs="仿宋_GB2312" w:eastAsia="仿宋_GB2312"/>
                <w:sz w:val="28"/>
              </w:rPr>
              <w:t>一期</w:t>
            </w:r>
            <w:r>
              <w:rPr>
                <w:rFonts w:ascii="仿宋_GB2312" w:hAnsi="仿宋_GB2312" w:cs="仿宋_GB2312" w:eastAsia="仿宋_GB2312"/>
                <w:sz w:val="28"/>
              </w:rPr>
              <w:t>），于</w:t>
            </w:r>
            <w:r>
              <w:rPr>
                <w:rFonts w:ascii="仿宋_GB2312" w:hAnsi="仿宋_GB2312" w:cs="仿宋_GB2312" w:eastAsia="仿宋_GB2312"/>
                <w:sz w:val="28"/>
              </w:rPr>
              <w:t>2019年12月建成使用，通过远程视频监控实现24小时对水源地监管。</w:t>
            </w:r>
            <w:r>
              <w:rPr>
                <w:rFonts w:ascii="仿宋_GB2312" w:hAnsi="仿宋_GB2312" w:cs="仿宋_GB2312" w:eastAsia="仿宋_GB2312"/>
                <w:sz w:val="28"/>
              </w:rPr>
              <w:t>为了使项目投资设备能正常运行并发挥其在环境保护中的作用，并延长设备的使用寿命，使其长期为</w:t>
            </w:r>
            <w:r>
              <w:rPr>
                <w:rFonts w:ascii="仿宋_GB2312" w:hAnsi="仿宋_GB2312" w:cs="仿宋_GB2312" w:eastAsia="仿宋_GB2312"/>
                <w:sz w:val="28"/>
              </w:rPr>
              <w:t>水源地</w:t>
            </w:r>
            <w:r>
              <w:rPr>
                <w:rFonts w:ascii="仿宋_GB2312" w:hAnsi="仿宋_GB2312" w:cs="仿宋_GB2312" w:eastAsia="仿宋_GB2312"/>
                <w:sz w:val="28"/>
              </w:rPr>
              <w:t>管理服务。特建立长期的运维管理机制。本</w:t>
            </w:r>
            <w:r>
              <w:rPr>
                <w:rFonts w:ascii="仿宋_GB2312" w:hAnsi="仿宋_GB2312" w:cs="仿宋_GB2312" w:eastAsia="仿宋_GB2312"/>
                <w:sz w:val="28"/>
              </w:rPr>
              <w:t>次</w:t>
            </w:r>
            <w:r>
              <w:rPr>
                <w:rFonts w:ascii="仿宋_GB2312" w:hAnsi="仿宋_GB2312" w:cs="仿宋_GB2312" w:eastAsia="仿宋_GB2312"/>
                <w:sz w:val="28"/>
              </w:rPr>
              <w:t>涉及项目常规运行、维修维护、常规保护等。</w:t>
            </w:r>
          </w:p>
          <w:p>
            <w:pPr>
              <w:pStyle w:val="null3"/>
              <w:ind w:firstLine="560"/>
              <w:jc w:val="both"/>
            </w:pPr>
            <w:r>
              <w:rPr>
                <w:rFonts w:ascii="仿宋_GB2312" w:hAnsi="仿宋_GB2312" w:cs="仿宋_GB2312" w:eastAsia="仿宋_GB2312"/>
                <w:sz w:val="28"/>
              </w:rPr>
              <w:t>二、</w:t>
            </w:r>
            <w:r>
              <w:rPr>
                <w:rFonts w:ascii="仿宋_GB2312" w:hAnsi="仿宋_GB2312" w:cs="仿宋_GB2312" w:eastAsia="仿宋_GB2312"/>
                <w:sz w:val="28"/>
                <w:b/>
              </w:rPr>
              <w:t>服务内容</w:t>
            </w:r>
          </w:p>
          <w:p>
            <w:pPr>
              <w:pStyle w:val="null3"/>
              <w:spacing w:after="120"/>
              <w:jc w:val="both"/>
            </w:pPr>
            <w:r>
              <w:rPr>
                <w:rFonts w:ascii="仿宋_GB2312" w:hAnsi="仿宋_GB2312" w:cs="仿宋_GB2312" w:eastAsia="仿宋_GB2312"/>
                <w:sz w:val="28"/>
                <w:b/>
              </w:rPr>
              <w:t>（一）服务内容</w:t>
            </w:r>
          </w:p>
          <w:p>
            <w:pPr>
              <w:pStyle w:val="null3"/>
              <w:spacing w:after="120"/>
              <w:jc w:val="both"/>
            </w:pPr>
            <w:r>
              <w:rPr>
                <w:rFonts w:ascii="仿宋_GB2312" w:hAnsi="仿宋_GB2312" w:cs="仿宋_GB2312" w:eastAsia="仿宋_GB2312"/>
                <w:sz w:val="28"/>
              </w:rPr>
              <w:t>（</w:t>
            </w:r>
            <w:r>
              <w:rPr>
                <w:rFonts w:ascii="仿宋_GB2312" w:hAnsi="仿宋_GB2312" w:cs="仿宋_GB2312" w:eastAsia="仿宋_GB2312"/>
                <w:sz w:val="28"/>
              </w:rPr>
              <w:t>1）负责前后端系统故障排除及设备的维护，协助影像资料下载，系统各方面优化，重要节假日保障，日常设备巡检，记录派发故障，跟进故障处理进度，汇总各类报表资料以及支撑管理站业务应用；</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2）巡检维修升降车辆，含车辆维护费用，油费，保险等，保障外场设备维护；</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3）外场每月点位巡检，日常设备保养维修工作，内容包括：设备外观、杆件、防护、电源、电缆、避雷设备、接地、通信设备、校准设备时钟、设备除尘、修剪遮挡物、检查外场设备的完整性和牢固性，消除人为或自然原因影响安全和功能使用的隐患；</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4）无线网桥设备巡检，日常设备保养维修工作，内容包括：设备除尘、修剪遮挡物、检查外场设备的完整性和牢固性，消除人为或自然原因影响安全和功能使用的隐患；</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5）费用缴纳：100M互联网专线费；设备电费（室外设备电费）；安全措施费（安全设备、野外通讯设备、防护用具、人员保险等）</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6）设备备品备件（无线网桥供电模块、无线网桥、光纤收发器、工业级交换机、防盗枪机电源、球机电源、太阳能充电控制器等）；操作电脑主机升级；</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7）技术服务（系统升级、数据备份）。</w:t>
            </w:r>
          </w:p>
          <w:p>
            <w:pPr>
              <w:pStyle w:val="null3"/>
              <w:jc w:val="both"/>
            </w:pPr>
            <w:r>
              <w:rPr>
                <w:rFonts w:ascii="仿宋_GB2312" w:hAnsi="仿宋_GB2312" w:cs="仿宋_GB2312" w:eastAsia="仿宋_GB2312"/>
                <w:sz w:val="28"/>
                <w:b/>
              </w:rPr>
              <w:t>（二）工程量清单</w:t>
            </w:r>
          </w:p>
          <w:p>
            <w:pPr>
              <w:pStyle w:val="null3"/>
              <w:jc w:val="left"/>
            </w:pPr>
            <w:r>
              <w:rPr>
                <w:rFonts w:ascii="仿宋_GB2312" w:hAnsi="仿宋_GB2312" w:cs="仿宋_GB2312" w:eastAsia="仿宋_GB2312"/>
                <w:sz w:val="24"/>
                <w:b/>
              </w:rPr>
              <w:t>1、前端点位</w:t>
            </w:r>
          </w:p>
          <w:tbl>
            <w:tblPr>
              <w:tblBorders>
                <w:top w:val="none" w:color="000000" w:sz="4"/>
                <w:left w:val="none" w:color="000000" w:sz="4"/>
                <w:bottom w:val="none" w:color="000000" w:sz="4"/>
                <w:right w:val="none" w:color="000000" w:sz="4"/>
                <w:insideH w:val="none"/>
                <w:insideV w:val="none"/>
              </w:tblBorders>
            </w:tblPr>
            <w:tblGrid>
              <w:gridCol w:w="254"/>
              <w:gridCol w:w="603"/>
              <w:gridCol w:w="791"/>
              <w:gridCol w:w="603"/>
              <w:gridCol w:w="290"/>
            </w:tblGrid>
            <w:tr>
              <w:tc>
                <w:tcPr>
                  <w:tcW w:type="dxa" w:w="25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序号</w:t>
                  </w:r>
                </w:p>
              </w:tc>
              <w:tc>
                <w:tcPr>
                  <w:tcW w:type="dxa" w:w="60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监控区域</w:t>
                  </w:r>
                </w:p>
              </w:tc>
              <w:tc>
                <w:tcPr>
                  <w:tcW w:type="dxa" w:w="7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点位名称</w:t>
                  </w:r>
                </w:p>
              </w:tc>
              <w:tc>
                <w:tcPr>
                  <w:tcW w:type="dxa" w:w="60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设备类型</w:t>
                  </w:r>
                </w:p>
              </w:tc>
              <w:tc>
                <w:tcPr>
                  <w:tcW w:type="dxa" w:w="2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备注</w:t>
                  </w: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汇流池</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一级保护区水库汇流池</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空压机房房顶</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一级保护区水库对岸（</w:t>
                  </w:r>
                  <w:r>
                    <w:rPr>
                      <w:rFonts w:ascii="仿宋_GB2312" w:hAnsi="仿宋_GB2312" w:cs="仿宋_GB2312" w:eastAsia="仿宋_GB2312"/>
                      <w:sz w:val="24"/>
                    </w:rPr>
                    <w:t>270°）全景</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180度全景相机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甘沟</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一级保护区水库大坝（</w:t>
                  </w:r>
                  <w:r>
                    <w:rPr>
                      <w:rFonts w:ascii="仿宋_GB2312" w:hAnsi="仿宋_GB2312" w:cs="仿宋_GB2312" w:eastAsia="仿宋_GB2312"/>
                      <w:sz w:val="24"/>
                    </w:rPr>
                    <w:t>180°）全景</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270度全景相机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凉水沟隧道桥头</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二级保护区凉水沟桥头</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9</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黄沙沟桥下</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一二级保护区交界东采峪库尾</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11</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高速交通穿越二级保护区隧道桥面</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二级保护区高速交通穿越</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13</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高速交通穿越一级保护区隧道桥面</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一级保护区高速交通穿越</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14</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15</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东采峪二准交界</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二准保护区交界变电站</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16</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17</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核桃沟便民桥护坡</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一二级保护区交界核桃沟护坡（</w:t>
                  </w:r>
                  <w:r>
                    <w:rPr>
                      <w:rFonts w:ascii="仿宋_GB2312" w:hAnsi="仿宋_GB2312" w:cs="仿宋_GB2312" w:eastAsia="仿宋_GB2312"/>
                      <w:sz w:val="24"/>
                    </w:rPr>
                    <w:t>180°）</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180度全景相机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18</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19</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核桃沟便民桥桥头</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一二级保护区交界核桃沟便民桥头</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20</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21</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核桃沟转弯</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一二级保护区交界西采峪库尾</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22</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r>
                    <w:rPr>
                      <w:rFonts w:ascii="仿宋_GB2312" w:hAnsi="仿宋_GB2312" w:cs="仿宋_GB2312" w:eastAsia="仿宋_GB2312"/>
                      <w:sz w:val="24"/>
                    </w:rPr>
                    <w:t>1</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23</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r>
                    <w:rPr>
                      <w:rFonts w:ascii="仿宋_GB2312" w:hAnsi="仿宋_GB2312" w:cs="仿宋_GB2312" w:eastAsia="仿宋_GB2312"/>
                      <w:sz w:val="24"/>
                    </w:rPr>
                    <w:t>2</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24</w:t>
                  </w: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西采峪冷水沟</w:t>
                  </w:r>
                </w:p>
              </w:tc>
              <w:tc>
                <w:tcPr>
                  <w:tcW w:type="dxa" w:w="79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二级保护区冷水沟桥头球机</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25</w:t>
                  </w:r>
                </w:p>
              </w:tc>
              <w:tc>
                <w:tcPr>
                  <w:tcW w:type="dxa" w:w="603"/>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26</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1号中继</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1号中继枪机</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27</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2号中继</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2号中继枪机</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28</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3号中继</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3号中继枪机</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29</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11号中继</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11号中继枪机</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30</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12号中继</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12号中继枪机</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31</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13号中继</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13号中继枪机</w:t>
                  </w:r>
                </w:p>
              </w:tc>
              <w:tc>
                <w:tcPr>
                  <w:tcW w:type="dxa" w:w="6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bl>
          <w:p>
            <w:pPr>
              <w:pStyle w:val="null3"/>
              <w:jc w:val="left"/>
            </w:pPr>
            <w:r>
              <w:rPr>
                <w:rFonts w:ascii="仿宋_GB2312" w:hAnsi="仿宋_GB2312" w:cs="仿宋_GB2312" w:eastAsia="仿宋_GB2312"/>
                <w:sz w:val="24"/>
                <w:b/>
              </w:rPr>
              <w:t>2、监控指挥管理系统及其他设备</w:t>
            </w:r>
          </w:p>
          <w:tbl>
            <w:tblPr>
              <w:tblBorders>
                <w:top w:val="none" w:color="000000" w:sz="4"/>
                <w:left w:val="none" w:color="000000" w:sz="4"/>
                <w:bottom w:val="none" w:color="000000" w:sz="4"/>
                <w:right w:val="none" w:color="000000" w:sz="4"/>
                <w:insideH w:val="none"/>
                <w:insideV w:val="none"/>
              </w:tblBorders>
            </w:tblPr>
            <w:tblGrid>
              <w:gridCol w:w="200"/>
              <w:gridCol w:w="626"/>
              <w:gridCol w:w="630"/>
              <w:gridCol w:w="321"/>
              <w:gridCol w:w="756"/>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编号</w:t>
                  </w:r>
                </w:p>
              </w:tc>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简要说明</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/单位</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53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监控指挥中心</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小间距</w:t>
                  </w:r>
                  <w:r>
                    <w:rPr>
                      <w:rFonts w:ascii="仿宋_GB2312" w:hAnsi="仿宋_GB2312" w:cs="仿宋_GB2312" w:eastAsia="仿宋_GB2312"/>
                      <w:sz w:val="24"/>
                    </w:rPr>
                    <w:t>LED屏</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10.36平方全彩P1.25LED显示屏</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本系统及相关支撑设备及配套产品</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电脑管理终端</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控制管理电脑</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软件、硬件</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服务器及配套</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软件、硬件</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网络数字硬盘录像机</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硬盘录像机及配套设备</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软件、硬件</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音响系统</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功放机音源输入输出设备</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生态环境监测平台系统软件</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视频管理、系统管理</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系统管理、资源管理、视频管理、录像管理、显示管理、录像管理等相关模块</w:t>
                  </w:r>
                </w:p>
              </w:tc>
            </w:tr>
            <w:tr>
              <w:tc>
                <w:tcPr>
                  <w:tcW w:type="dxa" w:w="253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本系统其他设备</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室外大屏系统</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室外</w:t>
                  </w:r>
                  <w:r>
                    <w:rPr>
                      <w:rFonts w:ascii="仿宋_GB2312" w:hAnsi="仿宋_GB2312" w:cs="仿宋_GB2312" w:eastAsia="仿宋_GB2312"/>
                      <w:sz w:val="24"/>
                    </w:rPr>
                    <w:t>P4-Pro全彩屏 11.05平方</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本系统及相关支撑设备及配套产品</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整个系统的供配电系统及相关</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本系统共配电设备及线路</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UPS系统</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20KVA</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UPS主机、UPS配电、电池柜</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实现本系统各项功能的其他设备及软件</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除以上所列设备系统之外的系统设备</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电费</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前端设备一年用电费用</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互联网专线费</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100M互联网专线开通及一年费用</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numPr>
                <w:ilvl w:val="0"/>
                <w:numId w:val="1"/>
              </w:numPr>
              <w:jc w:val="both"/>
            </w:pPr>
            <w:r>
              <w:rPr>
                <w:rFonts w:ascii="仿宋_GB2312" w:hAnsi="仿宋_GB2312" w:cs="仿宋_GB2312" w:eastAsia="仿宋_GB2312"/>
                <w:sz w:val="28"/>
                <w:b/>
              </w:rPr>
              <w:t>三、技术要求</w:t>
            </w:r>
          </w:p>
          <w:p>
            <w:pPr>
              <w:pStyle w:val="null3"/>
              <w:ind w:firstLine="480"/>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对于故障设备的零部件、接插件，免费维修或更换，接到故障报修，须即刻响应</w:t>
            </w:r>
            <w:r>
              <w:rPr>
                <w:rFonts w:ascii="仿宋_GB2312" w:hAnsi="仿宋_GB2312" w:cs="仿宋_GB2312" w:eastAsia="仿宋_GB2312"/>
                <w:sz w:val="28"/>
              </w:rPr>
              <w:t>4</w:t>
            </w:r>
            <w:r>
              <w:rPr>
                <w:rFonts w:ascii="仿宋_GB2312" w:hAnsi="仿宋_GB2312" w:cs="仿宋_GB2312" w:eastAsia="仿宋_GB2312"/>
                <w:sz w:val="28"/>
              </w:rPr>
              <w:t>小时内到达现场，</w:t>
            </w:r>
            <w:r>
              <w:rPr>
                <w:rFonts w:ascii="仿宋_GB2312" w:hAnsi="仿宋_GB2312" w:cs="仿宋_GB2312" w:eastAsia="仿宋_GB2312"/>
                <w:sz w:val="28"/>
              </w:rPr>
              <w:t>2</w:t>
            </w:r>
            <w:r>
              <w:rPr>
                <w:rFonts w:ascii="仿宋_GB2312" w:hAnsi="仿宋_GB2312" w:cs="仿宋_GB2312" w:eastAsia="仿宋_GB2312"/>
                <w:sz w:val="28"/>
              </w:rPr>
              <w:t>小时内完成；</w:t>
            </w:r>
          </w:p>
          <w:p>
            <w:pPr>
              <w:pStyle w:val="null3"/>
              <w:ind w:firstLine="480"/>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对于常见故障，</w:t>
            </w:r>
            <w:r>
              <w:rPr>
                <w:rFonts w:ascii="仿宋_GB2312" w:hAnsi="仿宋_GB2312" w:cs="仿宋_GB2312" w:eastAsia="仿宋_GB2312"/>
                <w:sz w:val="28"/>
              </w:rPr>
              <w:t>4</w:t>
            </w:r>
            <w:r>
              <w:rPr>
                <w:rFonts w:ascii="仿宋_GB2312" w:hAnsi="仿宋_GB2312" w:cs="仿宋_GB2312" w:eastAsia="仿宋_GB2312"/>
                <w:sz w:val="28"/>
              </w:rPr>
              <w:t>小时内到达现场进行设备维护，</w:t>
            </w:r>
            <w:r>
              <w:rPr>
                <w:rFonts w:ascii="仿宋_GB2312" w:hAnsi="仿宋_GB2312" w:cs="仿宋_GB2312" w:eastAsia="仿宋_GB2312"/>
                <w:sz w:val="28"/>
              </w:rPr>
              <w:t>3小时内完成修复，保证设备运行良好，无法处理的故障报项目负责人协商解决；</w:t>
            </w:r>
          </w:p>
          <w:p>
            <w:pPr>
              <w:pStyle w:val="null3"/>
              <w:ind w:firstLine="480"/>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免费更换备用设备，故障设备常见故障进行简单维修，时间不得超过</w:t>
            </w:r>
            <w:r>
              <w:rPr>
                <w:rFonts w:ascii="仿宋_GB2312" w:hAnsi="仿宋_GB2312" w:cs="仿宋_GB2312" w:eastAsia="仿宋_GB2312"/>
                <w:sz w:val="28"/>
              </w:rPr>
              <w:t>5</w:t>
            </w:r>
            <w:r>
              <w:rPr>
                <w:rFonts w:ascii="仿宋_GB2312" w:hAnsi="仿宋_GB2312" w:cs="仿宋_GB2312" w:eastAsia="仿宋_GB2312"/>
                <w:sz w:val="28"/>
              </w:rPr>
              <w:t>个日历日，需要返厂维修，请示主管项目负责人协商解决；</w:t>
            </w:r>
          </w:p>
          <w:p>
            <w:pPr>
              <w:pStyle w:val="null3"/>
              <w:ind w:firstLine="480"/>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迁移设备或更新设备须在</w:t>
            </w: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日历日内完成</w:t>
            </w:r>
            <w:r>
              <w:rPr>
                <w:rFonts w:ascii="仿宋_GB2312" w:hAnsi="仿宋_GB2312" w:cs="仿宋_GB2312" w:eastAsia="仿宋_GB2312"/>
                <w:sz w:val="28"/>
              </w:rPr>
              <w:t>；</w:t>
            </w:r>
          </w:p>
          <w:p>
            <w:pPr>
              <w:pStyle w:val="null3"/>
              <w:ind w:firstLine="480"/>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提供最新的技术服务，并能按照上级要求对系统各项功能升级提供必要的技术支持及升级管理服务。</w:t>
            </w:r>
          </w:p>
          <w:p>
            <w:pPr>
              <w:pStyle w:val="null3"/>
              <w:spacing w:before="315"/>
              <w:jc w:val="both"/>
            </w:pPr>
            <w:r>
              <w:rPr>
                <w:rFonts w:ascii="仿宋_GB2312" w:hAnsi="仿宋_GB2312" w:cs="仿宋_GB2312" w:eastAsia="仿宋_GB2312"/>
                <w:sz w:val="28"/>
                <w:b/>
              </w:rPr>
              <w:t>四、</w:t>
            </w:r>
            <w:r>
              <w:rPr>
                <w:rFonts w:ascii="仿宋_GB2312" w:hAnsi="仿宋_GB2312" w:cs="仿宋_GB2312" w:eastAsia="仿宋_GB2312"/>
                <w:sz w:val="28"/>
                <w:b/>
              </w:rPr>
              <w:t>服务要求</w:t>
            </w:r>
          </w:p>
          <w:p>
            <w:pPr>
              <w:pStyle w:val="null3"/>
              <w:jc w:val="both"/>
            </w:pPr>
            <w:r>
              <w:rPr>
                <w:rFonts w:ascii="仿宋_GB2312" w:hAnsi="仿宋_GB2312" w:cs="仿宋_GB2312" w:eastAsia="仿宋_GB2312"/>
                <w:sz w:val="28"/>
                <w:b/>
              </w:rPr>
              <w:t>1、服务要求</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每日对远程视频监控智能预警系统进行线上巡查，检查设备在线情况，对预警系统发现的问题及时记录并汇报给</w:t>
            </w:r>
            <w:r>
              <w:rPr>
                <w:rFonts w:ascii="仿宋_GB2312" w:hAnsi="仿宋_GB2312" w:cs="仿宋_GB2312" w:eastAsia="仿宋_GB2312"/>
                <w:sz w:val="28"/>
              </w:rPr>
              <w:t>工作人员</w:t>
            </w:r>
            <w:r>
              <w:rPr>
                <w:rFonts w:ascii="仿宋_GB2312" w:hAnsi="仿宋_GB2312" w:cs="仿宋_GB2312" w:eastAsia="仿宋_GB2312"/>
                <w:sz w:val="28"/>
              </w:rPr>
              <w:t>进行处理。发现故障后，报修并及时修复；</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每日统计当天预警信息以及故障处理情况，注明故障原因、维修内容、修复时间及更换的备品备件情况等记录汇总；</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按时上报周报、月报以及季度维护、巡检工作情况并及时与主管人员汇报对接</w:t>
            </w:r>
            <w:r>
              <w:rPr>
                <w:rFonts w:ascii="仿宋_GB2312" w:hAnsi="仿宋_GB2312" w:cs="仿宋_GB2312" w:eastAsia="仿宋_GB2312"/>
                <w:sz w:val="28"/>
              </w:rPr>
              <w:t>；</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维护期内配合相关部门远程监控处理工作任务，负责上传下达前端设备故障报修和运行状况回复；</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有计划的对项目中每个点位进行巡检，巡检周期不能超过</w:t>
            </w:r>
            <w:r>
              <w:rPr>
                <w:rFonts w:ascii="仿宋_GB2312" w:hAnsi="仿宋_GB2312" w:cs="仿宋_GB2312" w:eastAsia="仿宋_GB2312"/>
                <w:sz w:val="28"/>
              </w:rPr>
              <w:t>1个月，并于当月月末及时将巡检内容以书面报告形式进行归档；</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完成相关的接入服务器、接入交换机及核心交换机进行日常的维护，配合运营商和设备提供商对设备接口配置，使设备性能达到最佳状态；</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配合完成突发情况处置工作以及应急保障任务；</w:t>
            </w:r>
          </w:p>
          <w:p>
            <w:pPr>
              <w:pStyle w:val="null3"/>
              <w:ind w:firstLine="280"/>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运维单位需按照日记录、周报告、月报告形式，动态反应设备运行情况。</w:t>
            </w:r>
          </w:p>
          <w:p>
            <w:pPr>
              <w:pStyle w:val="null3"/>
              <w:ind w:firstLine="280"/>
            </w:pP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清缴电费要求</w:t>
            </w:r>
          </w:p>
          <w:p>
            <w:pPr>
              <w:pStyle w:val="null3"/>
              <w:ind w:firstLine="480"/>
            </w:pPr>
            <w:r>
              <w:rPr>
                <w:rFonts w:ascii="仿宋_GB2312" w:hAnsi="仿宋_GB2312" w:cs="仿宋_GB2312" w:eastAsia="仿宋_GB2312"/>
                <w:sz w:val="28"/>
              </w:rPr>
              <w:t>运维单位需</w:t>
            </w:r>
            <w:r>
              <w:rPr>
                <w:rFonts w:ascii="仿宋_GB2312" w:hAnsi="仿宋_GB2312" w:cs="仿宋_GB2312" w:eastAsia="仿宋_GB2312"/>
                <w:sz w:val="28"/>
              </w:rPr>
              <w:t>及</w:t>
            </w:r>
            <w:r>
              <w:rPr>
                <w:rFonts w:ascii="仿宋_GB2312" w:hAnsi="仿宋_GB2312" w:cs="仿宋_GB2312" w:eastAsia="仿宋_GB2312"/>
                <w:sz w:val="28"/>
              </w:rPr>
              <w:t>时清缴系统正常工作所需的各项电费。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根据合同文本、磋商文件、响应文件等文件进行验收。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进度款，合同签订后，甲方收到乙方开具的等额发票后，达到付款条件起20个工作日内，支付合同总金额的40.0%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进度款，合同履约完成，甲方验收合格后，甲方在收到乙方开具的等额发票后，达到付款条件起20个工作日内，支付合同总金额的60.0%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（1）请供应商按照陕西省财政厅关于政府采购供应商注册登记有关事项的通知中的要求，通过陕西省政府采购网（http://www.ccgp-shaanxi.gov.cn/）注册登记加入陕西省政府采购供应商库。 （2）请成交供应商在领取成交通知书时，向招标代理机构递交纸质版响应文件（纸质文件与线上评审电子文件保持一致）正本壹份、副本贰份，电子版响应文件（U盘）贰份。 （3）根据《西安市财政局关于促进政府采购公平竞争优化营商环境的通知》市财函[2021]431号文第16条 供应商登记免费领取采购文件的，如不参与项目投标，应在递交投标（或响应）文件截止时间前一日以书面形式告知采购代理机构（接收邮箱：sxdz20210508@168.com）。否则，采购代理机构可以向财政部门反应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主体证明文件</w:t>
            </w:r>
          </w:p>
        </w:tc>
        <w:tc>
          <w:tcPr>
            <w:tcW w:type="dxa" w:w="3322"/>
          </w:tcPr>
          <w:p>
            <w:pPr>
              <w:pStyle w:val="null3"/>
            </w:pPr>
            <w:r>
              <w:rPr>
                <w:rFonts w:ascii="仿宋_GB2312" w:hAnsi="仿宋_GB2312" w:cs="仿宋_GB2312" w:eastAsia="仿宋_GB2312"/>
              </w:rPr>
              <w:t>响应供应商需提供有效合格的具有统一社会信用代码的营业执照，其他组织经营的须提供合法凭证，自然人提供身份证明文件。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w:t>
            </w:r>
          </w:p>
        </w:tc>
        <w:tc>
          <w:tcPr>
            <w:tcW w:type="dxa" w:w="3322"/>
          </w:tcPr>
          <w:p>
            <w:pPr>
              <w:pStyle w:val="null3"/>
            </w:pPr>
            <w:r>
              <w:rPr>
                <w:rFonts w:ascii="仿宋_GB2312" w:hAnsi="仿宋_GB2312" w:cs="仿宋_GB2312" w:eastAsia="仿宋_GB2312"/>
              </w:rPr>
              <w:t>提供供应商2025年6月1日以来任意一个月已缴纳的纳税证明或完税证明（至少包含增值税或企业所得税），依法免税的供应商应提供加盖公章的相关证明文件。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依法缴纳社保的证明</w:t>
            </w:r>
          </w:p>
        </w:tc>
        <w:tc>
          <w:tcPr>
            <w:tcW w:type="dxa" w:w="3322"/>
          </w:tcPr>
          <w:p>
            <w:pPr>
              <w:pStyle w:val="null3"/>
            </w:pPr>
            <w:r>
              <w:rPr>
                <w:rFonts w:ascii="仿宋_GB2312" w:hAnsi="仿宋_GB2312" w:cs="仿宋_GB2312" w:eastAsia="仿宋_GB2312"/>
              </w:rPr>
              <w:t>提供供应商2025年6月1日以来任意一个月已缴纳的社会保障资金缴存单据或社保机构开具的社会保险参保缴费情况证明；依法不需要缴纳社会保障资金的供应商应提供加盖公章的相关证明文件。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控股管理关系及其他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技术（服务）条款</w:t>
            </w:r>
          </w:p>
        </w:tc>
        <w:tc>
          <w:tcPr>
            <w:tcW w:type="dxa" w:w="3322"/>
          </w:tcPr>
          <w:p>
            <w:pPr>
              <w:pStyle w:val="null3"/>
            </w:pPr>
            <w:r>
              <w:rPr>
                <w:rFonts w:ascii="仿宋_GB2312" w:hAnsi="仿宋_GB2312" w:cs="仿宋_GB2312" w:eastAsia="仿宋_GB2312"/>
              </w:rPr>
              <w:t>完全理解并响应采购文件要求的各项技术（服务），且未含有采购人不能接受的附加条件的。</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商务条款（如服务期限、付款方式、响应有效期等）</w:t>
            </w:r>
          </w:p>
        </w:tc>
        <w:tc>
          <w:tcPr>
            <w:tcW w:type="dxa" w:w="3322"/>
          </w:tcPr>
          <w:p>
            <w:pPr>
              <w:pStyle w:val="null3"/>
            </w:pPr>
            <w:r>
              <w:rPr>
                <w:rFonts w:ascii="仿宋_GB2312" w:hAnsi="仿宋_GB2312" w:cs="仿宋_GB2312" w:eastAsia="仿宋_GB2312"/>
              </w:rPr>
              <w:t>完全理解并响应采购文件商务条款的要求，且未含有采购人不能接受的附加条件的。</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提出针对本项目的总体方案，内容包括①服务内容分析及目标②服务工作范围及工作方法③重难点分析及解决方案 二、评审标准 1、完整性：方案须全面，对评审内容中的各项要求有详细描述及说明； 2、可实施性：切合本项目实际情况，实施步骤清晰、合理； 3、针对性：方案能够紧扣项目实际情况，内容科学合理。 三、赋分标准（满分9分） ①服务内容分析及目标：每完全满足一项评审标准得1分，存在瑕疵得0.5分，满分3 分； ②服务工作范围及工作方法：每完全满足一项评审标准得1分，存在瑕疵得0.5分，满分3 分； ③重难点分析及解决方案：每完全满足一项评审标准得1分，存在瑕疵得0.5分，满分3 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提出针对本项目的服务方案，包含①前后端系统运维方案②设备及点位巡检方案③设备维护方案④报告汇总方案 二、评审标准 1、完整性：方案须全面，对评审内容中的各项要求有详细描述及说明； 2、可实施性：切合本项目实际情况，实施步骤清晰、合理； 3、针对性：方案能够紧扣项目实际情况，内容科学合理。 三、赋分标准（满分24分） ①前后端系统运维方案：每完全满足一项评审标准得2分，存在瑕疵得1分，满分6分； ②设备及点位巡检方案：每完全满足一项评审标准得2分，存在瑕疵得1分，满分6分； ③设备维护方案：每完全满足一项评审标准得2分，存在瑕疵得1分，满分6分；④报告汇总方案：每完全满足一项评审标准得2分，存在瑕疵得1分，满分6分。 瑕疵是指存在不完全满足评分标准，但项目仍可实施。</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提出针对本项目的保障方案，包含①安全保障方案②保密保障方案③质量保障方案 二、评审标准 1、完整性：方案须全面，对评审内容中的各项要求有详细描述及说明； 2、可实施性：切合本项目实际情况，实施步骤清晰、合理； 3、针对性：方案能够紧扣项目实际情况，内容科学合理。 三、赋分标准（满分9分） ①安全保障方案：每完全满足一项评审标准得1分，存在瑕疵得0.5分，满分3分； ②保密保障方案：每完全满足一项评审标准得1分，存在瑕疵得0.5分，满分3分； ③质量保障方案：每完全满足一项评审标准得1分，存在瑕疵得0.5分，满分3分。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提出针对本项目的应急保障服务方案，包含①系统故障应急预案②安全事件应急预案 二、评审标准 1、完整性：方案须全面，对评审内容中的各项要求有详细描述及说明； 2、可实施性：切合本项目实际情况，实施步骤清晰、合理； 3、针对性：方案能够紧扣项目实际情况，内容科学合理。 三、赋分标准（满分6分） ①系统故障应急预案：每完全满足一项评审标准得1分，存在瑕疵得0.5分，满分3分； ②安全事件应急预案：每完全满足一项评审标准得1分，存在瑕疵得0.5分，满分3分。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针对本项目拟投入的设备、仪器</w:t>
            </w:r>
          </w:p>
        </w:tc>
        <w:tc>
          <w:tcPr>
            <w:tcW w:type="dxa" w:w="2492"/>
          </w:tcPr>
          <w:p>
            <w:pPr>
              <w:pStyle w:val="null3"/>
            </w:pPr>
            <w:r>
              <w:rPr>
                <w:rFonts w:ascii="仿宋_GB2312" w:hAnsi="仿宋_GB2312" w:cs="仿宋_GB2312" w:eastAsia="仿宋_GB2312"/>
              </w:rPr>
              <w:t>提出针对本项目拟投入的设备、仪器，根据供应商所提供设备、仪器的完整性、可实施性、针对性进行评审（需提供设备、仪器所有权证明）。 所提供设备、仪器同时满足完整性、可实施性、针对性三项评审标准的，得2分； 所提供设备、仪器的完整性、可实施性、针对性其中有一项评审标准不满足，得1.5分； 所提供设备、仪器的完整性、可实施性、针对性其中有两项评审标准不满足，得1分； 其他或未提供得不得分。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提出针对本项目的人员管理方案： ①工作标准：具有岗位工作标准、服务质量标准得2分； ②内控制度：具有问责机制、监督机制、自查制度得2分； ③人员管理制度：具有员工日常管理办法、请销假制度、奖惩措施、激励机制得2分。 未提供得不得分。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针对本项目提供合理化建议每提供一条得0.5分，最高得2分。未提供得不得分。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项目负责人（满分6分）： ①具有与本项目相关专业本科及以上学历得2分； ②具有相关专业高级及以上职称（资格）或同等资格证书得2分，具有相关专业中级及以上职称（资格）或同等资格证书得1.5分，具有相关专业初级及以上职称（资格）或同等资格证书得1分，最高得2分； ③具有相关工作经验得2分（提供中标通知书或合同或项目验收单等复印件）。 项目团队（满分3分）： 拟投入本项目团队人员具有相关专业中级及以上职称（资格）得1分，最高得3分。 以上人员须提供人员稳定在职证明（如劳动合同或社保缴纳证明）及投入本项目人员稳定性承诺（未经采购人同意，不随意更换项目团队成员），不提供不得分。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供应商提供自2023年1月1日至今具有同类项目业绩，每提供一个得3分，满分18分。 注：业绩证明以中标通知书或合同复印件加盖公章为依据。</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磋商报价得分=(磋商基准价／磋商报价)×15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