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E4030">
      <w:pPr>
        <w:keepNext w:val="0"/>
        <w:keepLines w:val="0"/>
        <w:numPr>
          <w:ilvl w:val="0"/>
          <w:numId w:val="0"/>
        </w:numPr>
        <w:rPr>
          <w:rFonts w:hint="eastAsia" w:ascii="仿宋" w:hAnsi="仿宋" w:eastAsia="仿宋" w:cs="仿宋"/>
        </w:rPr>
      </w:pPr>
      <w:bookmarkStart w:id="0" w:name="_Toc17312"/>
      <w:bookmarkStart w:id="1" w:name="_Toc2486"/>
      <w:bookmarkStart w:id="2" w:name="_Toc5112"/>
      <w:r>
        <w:rPr>
          <w:rFonts w:hint="eastAsia" w:ascii="仿宋" w:hAnsi="仿宋" w:eastAsia="仿宋" w:cs="仿宋"/>
          <w:b/>
          <w:bCs/>
          <w:kern w:val="2"/>
          <w:szCs w:val="32"/>
          <w:highlight w:val="none"/>
        </w:rPr>
        <w:t>1</w:t>
      </w:r>
      <w:r>
        <w:rPr>
          <w:rFonts w:hint="eastAsia" w:ascii="仿宋" w:hAnsi="仿宋" w:eastAsia="仿宋" w:cs="仿宋"/>
          <w:b/>
          <w:bCs/>
          <w:kern w:val="2"/>
          <w:szCs w:val="32"/>
          <w:highlight w:val="none"/>
          <w:lang w:val="en-US" w:eastAsia="zh-CN"/>
        </w:rPr>
        <w:t>.</w:t>
      </w:r>
      <w:r>
        <w:rPr>
          <w:rFonts w:hint="eastAsia" w:ascii="仿宋" w:hAnsi="仿宋" w:eastAsia="仿宋" w:cs="仿宋"/>
          <w:b/>
          <w:bCs/>
          <w:kern w:val="2"/>
          <w:szCs w:val="32"/>
          <w:highlight w:val="none"/>
        </w:rPr>
        <w:t>项目基本情况</w:t>
      </w:r>
      <w:bookmarkEnd w:id="0"/>
    </w:p>
    <w:p w14:paraId="45FF085D">
      <w:pPr>
        <w:pStyle w:val="3"/>
        <w:jc w:val="both"/>
        <w:rPr>
          <w:rFonts w:hint="eastAsia" w:ascii="仿宋" w:hAnsi="仿宋" w:eastAsia="仿宋" w:cs="仿宋"/>
          <w:b/>
          <w:bCs/>
          <w:kern w:val="2"/>
          <w:sz w:val="28"/>
          <w:szCs w:val="32"/>
          <w:highlight w:val="none"/>
          <w:u w:val="none"/>
          <w:lang w:val="en-US" w:eastAsia="zh-CN" w:bidi="ar-SA"/>
        </w:rPr>
      </w:pPr>
      <w:r>
        <w:rPr>
          <w:rFonts w:hint="eastAsia" w:ascii="仿宋" w:hAnsi="仿宋" w:eastAsia="仿宋" w:cs="仿宋"/>
          <w:b/>
          <w:bCs/>
          <w:kern w:val="2"/>
          <w:sz w:val="28"/>
          <w:szCs w:val="32"/>
          <w:highlight w:val="none"/>
          <w:u w:val="none"/>
          <w:lang w:val="en-US" w:eastAsia="zh-CN" w:bidi="ar-SA"/>
        </w:rPr>
        <w:t>1.1物业情况</w:t>
      </w:r>
    </w:p>
    <w:p w14:paraId="39710D0A">
      <w:pPr>
        <w:rPr>
          <w:rFonts w:hint="eastAsia" w:ascii="仿宋" w:hAnsi="仿宋" w:eastAsia="仿宋" w:cs="仿宋"/>
          <w:strike w:val="0"/>
          <w:dstrike w:val="0"/>
          <w:sz w:val="24"/>
          <w:szCs w:val="24"/>
        </w:rPr>
      </w:pPr>
      <w:r>
        <w:rPr>
          <w:rFonts w:hint="eastAsia" w:ascii="仿宋" w:hAnsi="仿宋" w:eastAsia="仿宋" w:cs="仿宋"/>
          <w:strike w:val="0"/>
          <w:dstrike w:val="0"/>
          <w:sz w:val="24"/>
          <w:szCs w:val="24"/>
        </w:rPr>
        <w:t>神木市公安局交管大队机关及下属中队、服务网点</w:t>
      </w:r>
      <w:r>
        <w:rPr>
          <w:rFonts w:hint="eastAsia" w:ascii="仿宋" w:hAnsi="仿宋" w:eastAsia="仿宋" w:cs="仿宋"/>
          <w:strike w:val="0"/>
          <w:dstrike w:val="0"/>
          <w:sz w:val="24"/>
          <w:szCs w:val="24"/>
          <w:lang w:val="en-US" w:eastAsia="zh-CN"/>
        </w:rPr>
        <w:t>名称，地址</w:t>
      </w:r>
    </w:p>
    <w:tbl>
      <w:tblPr>
        <w:tblStyle w:val="5"/>
        <w:tblW w:w="50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5"/>
        <w:gridCol w:w="4843"/>
      </w:tblGrid>
      <w:tr w14:paraId="3EEF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715" w:type="dxa"/>
            <w:noWrap w:val="0"/>
            <w:vAlign w:val="center"/>
          </w:tcPr>
          <w:p w14:paraId="55ACF70E">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trike w:val="0"/>
                <w:dstrike w:val="0"/>
                <w:kern w:val="2"/>
                <w:sz w:val="24"/>
                <w:szCs w:val="24"/>
                <w:vertAlign w:val="baseline"/>
                <w:lang w:val="en-US" w:eastAsia="zh-CN" w:bidi="ar-SA"/>
              </w:rPr>
            </w:pPr>
            <w:r>
              <w:rPr>
                <w:rFonts w:hint="eastAsia" w:ascii="仿宋" w:hAnsi="仿宋" w:eastAsia="仿宋" w:cs="仿宋"/>
                <w:b/>
                <w:bCs/>
                <w:strike w:val="0"/>
                <w:dstrike w:val="0"/>
                <w:sz w:val="24"/>
                <w:szCs w:val="24"/>
                <w:highlight w:val="none"/>
              </w:rPr>
              <w:t>物业名称</w:t>
            </w:r>
          </w:p>
        </w:tc>
        <w:tc>
          <w:tcPr>
            <w:tcW w:w="4844" w:type="dxa"/>
            <w:noWrap w:val="0"/>
            <w:vAlign w:val="center"/>
          </w:tcPr>
          <w:p w14:paraId="35E5E9E2">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trike w:val="0"/>
                <w:dstrike w:val="0"/>
                <w:kern w:val="2"/>
                <w:sz w:val="24"/>
                <w:szCs w:val="24"/>
                <w:vertAlign w:val="baseline"/>
                <w:lang w:val="en-US" w:eastAsia="zh-CN" w:bidi="ar-SA"/>
              </w:rPr>
            </w:pPr>
            <w:r>
              <w:rPr>
                <w:rFonts w:hint="eastAsia" w:ascii="仿宋" w:hAnsi="仿宋" w:eastAsia="仿宋" w:cs="仿宋"/>
                <w:b/>
                <w:bCs/>
                <w:strike w:val="0"/>
                <w:dstrike w:val="0"/>
                <w:sz w:val="24"/>
                <w:szCs w:val="24"/>
                <w:highlight w:val="none"/>
              </w:rPr>
              <w:t>物业地址</w:t>
            </w:r>
          </w:p>
        </w:tc>
      </w:tr>
      <w:tr w14:paraId="79BA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4CF0013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神木市公安局交管大队机关</w:t>
            </w:r>
          </w:p>
        </w:tc>
        <w:tc>
          <w:tcPr>
            <w:tcW w:w="0" w:type="auto"/>
            <w:noWrap w:val="0"/>
            <w:vAlign w:val="center"/>
          </w:tcPr>
          <w:p w14:paraId="48F6CE0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东兴街中段1号</w:t>
            </w:r>
          </w:p>
        </w:tc>
      </w:tr>
      <w:tr w14:paraId="16E6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1C9D8B3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神木市公安局交管大队车管所</w:t>
            </w:r>
          </w:p>
        </w:tc>
        <w:tc>
          <w:tcPr>
            <w:tcW w:w="0" w:type="auto"/>
            <w:noWrap w:val="0"/>
            <w:vAlign w:val="center"/>
          </w:tcPr>
          <w:p w14:paraId="36EF0B1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神木市西山路与铧阳路交叉路口</w:t>
            </w:r>
          </w:p>
        </w:tc>
      </w:tr>
      <w:tr w14:paraId="0CD9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6476A82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sz w:val="24"/>
                <w:szCs w:val="24"/>
                <w:highlight w:val="none"/>
                <w:lang w:val="en-US" w:eastAsia="zh-CN"/>
              </w:rPr>
            </w:pPr>
            <w:r>
              <w:rPr>
                <w:rFonts w:hint="eastAsia" w:ascii="仿宋" w:hAnsi="仿宋" w:eastAsia="仿宋" w:cs="仿宋"/>
                <w:b w:val="0"/>
                <w:bCs w:val="0"/>
                <w:strike w:val="0"/>
                <w:dstrike w:val="0"/>
                <w:color w:val="000000"/>
                <w:sz w:val="24"/>
                <w:szCs w:val="24"/>
                <w:highlight w:val="none"/>
                <w:lang w:val="en-US" w:eastAsia="zh-CN"/>
              </w:rPr>
              <w:t>神木市公安局交管大队事故中队</w:t>
            </w:r>
          </w:p>
        </w:tc>
        <w:tc>
          <w:tcPr>
            <w:tcW w:w="0" w:type="auto"/>
            <w:noWrap w:val="0"/>
            <w:vAlign w:val="center"/>
          </w:tcPr>
          <w:p w14:paraId="585789B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sz w:val="24"/>
                <w:szCs w:val="24"/>
                <w:highlight w:val="none"/>
                <w:lang w:val="en-US" w:eastAsia="zh-CN"/>
              </w:rPr>
            </w:pPr>
            <w:r>
              <w:rPr>
                <w:rFonts w:hint="eastAsia" w:ascii="仿宋" w:hAnsi="仿宋" w:eastAsia="仿宋" w:cs="仿宋"/>
                <w:b w:val="0"/>
                <w:bCs w:val="0"/>
                <w:strike w:val="0"/>
                <w:dstrike w:val="0"/>
                <w:color w:val="000000"/>
                <w:sz w:val="24"/>
                <w:szCs w:val="24"/>
                <w:highlight w:val="none"/>
                <w:lang w:val="en-US" w:eastAsia="zh-CN"/>
              </w:rPr>
              <w:t>神木市西山路与铧阳路交叉路口</w:t>
            </w:r>
          </w:p>
        </w:tc>
      </w:tr>
      <w:tr w14:paraId="3FC3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55C3099D">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kern w:val="2"/>
                <w:sz w:val="24"/>
                <w:szCs w:val="24"/>
                <w:highlight w:val="no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神木市公安局交管大队一中队</w:t>
            </w:r>
          </w:p>
        </w:tc>
        <w:tc>
          <w:tcPr>
            <w:tcW w:w="0" w:type="auto"/>
            <w:noWrap w:val="0"/>
            <w:vAlign w:val="center"/>
          </w:tcPr>
          <w:p w14:paraId="4B6DA94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kern w:val="2"/>
                <w:sz w:val="24"/>
                <w:szCs w:val="24"/>
                <w:highlight w:val="no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东兴街中段1号-附1</w:t>
            </w:r>
          </w:p>
        </w:tc>
      </w:tr>
      <w:tr w14:paraId="57D8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1817009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kern w:val="2"/>
                <w:sz w:val="24"/>
                <w:szCs w:val="24"/>
                <w:highlight w:val="no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神木市公安局交管大队二中队</w:t>
            </w:r>
          </w:p>
        </w:tc>
        <w:tc>
          <w:tcPr>
            <w:tcW w:w="0" w:type="auto"/>
            <w:noWrap w:val="0"/>
            <w:vAlign w:val="center"/>
          </w:tcPr>
          <w:p w14:paraId="108DD96D">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kern w:val="2"/>
                <w:sz w:val="24"/>
                <w:szCs w:val="24"/>
                <w:highlight w:val="no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九龙大道自强路丁字路口</w:t>
            </w:r>
          </w:p>
        </w:tc>
      </w:tr>
      <w:tr w14:paraId="74A2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15F7E3C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神木市公安局交管大队滨河新区中队</w:t>
            </w:r>
          </w:p>
        </w:tc>
        <w:tc>
          <w:tcPr>
            <w:tcW w:w="0" w:type="auto"/>
            <w:noWrap w:val="0"/>
            <w:vAlign w:val="center"/>
          </w:tcPr>
          <w:p w14:paraId="1D17FB1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G336国道硬地场村委会南200米处</w:t>
            </w:r>
          </w:p>
        </w:tc>
      </w:tr>
      <w:tr w14:paraId="1513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6EBD6091">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神木市公安局交管大队店塔中队</w:t>
            </w:r>
          </w:p>
        </w:tc>
        <w:tc>
          <w:tcPr>
            <w:tcW w:w="0" w:type="auto"/>
            <w:noWrap w:val="0"/>
            <w:vAlign w:val="center"/>
          </w:tcPr>
          <w:p w14:paraId="6FC7550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神木市店塔镇衡阳大道257号</w:t>
            </w:r>
          </w:p>
        </w:tc>
      </w:tr>
      <w:tr w14:paraId="0F5C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7E0C17C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神木市公安局交管大队大柳塔中队</w:t>
            </w:r>
          </w:p>
        </w:tc>
        <w:tc>
          <w:tcPr>
            <w:tcW w:w="0" w:type="auto"/>
            <w:noWrap w:val="0"/>
            <w:vAlign w:val="center"/>
          </w:tcPr>
          <w:p w14:paraId="5DAD0B1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神木市大柳塔洪发宾馆对面</w:t>
            </w:r>
          </w:p>
        </w:tc>
      </w:tr>
      <w:tr w14:paraId="377F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2B33040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神木市公安局交管大队西沟中队</w:t>
            </w:r>
          </w:p>
        </w:tc>
        <w:tc>
          <w:tcPr>
            <w:tcW w:w="0" w:type="auto"/>
            <w:noWrap w:val="0"/>
            <w:vAlign w:val="center"/>
          </w:tcPr>
          <w:p w14:paraId="7903882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神木市G337国道850公里处</w:t>
            </w:r>
          </w:p>
        </w:tc>
      </w:tr>
      <w:tr w14:paraId="59BCD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051033E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rPr>
              <w:t>神木市公安局交管大队锦界中队</w:t>
            </w:r>
          </w:p>
        </w:tc>
        <w:tc>
          <w:tcPr>
            <w:tcW w:w="0" w:type="auto"/>
            <w:noWrap w:val="0"/>
            <w:vAlign w:val="center"/>
          </w:tcPr>
          <w:p w14:paraId="7B8D42F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rPr>
              <w:t>锦界镇锦大路与锦绣大街交叉口</w:t>
            </w:r>
          </w:p>
        </w:tc>
      </w:tr>
      <w:tr w14:paraId="1D01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087AFE2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神木市公安局交管大队神盘路中队</w:t>
            </w:r>
          </w:p>
        </w:tc>
        <w:tc>
          <w:tcPr>
            <w:tcW w:w="0" w:type="auto"/>
            <w:noWrap w:val="0"/>
            <w:vAlign w:val="center"/>
          </w:tcPr>
          <w:p w14:paraId="40D693A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神木市神盘路侯川超限站</w:t>
            </w:r>
          </w:p>
        </w:tc>
      </w:tr>
      <w:tr w14:paraId="2B17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7EF50CB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auto"/>
                <w:kern w:val="2"/>
                <w:sz w:val="24"/>
                <w:szCs w:val="24"/>
                <w:highlight w:val="none"/>
                <w:lang w:val="en-US" w:eastAsia="zh-CN" w:bidi="ar-SA"/>
              </w:rPr>
            </w:pPr>
            <w:r>
              <w:rPr>
                <w:rFonts w:hint="eastAsia" w:ascii="仿宋" w:hAnsi="仿宋" w:eastAsia="仿宋" w:cs="仿宋"/>
                <w:b w:val="0"/>
                <w:bCs w:val="0"/>
                <w:strike w:val="0"/>
                <w:dstrike w:val="0"/>
                <w:color w:val="auto"/>
                <w:sz w:val="24"/>
                <w:szCs w:val="24"/>
                <w:highlight w:val="none"/>
                <w:lang w:val="en-US" w:eastAsia="zh-CN"/>
              </w:rPr>
              <w:t>神木市公安局交管大队西沙中队</w:t>
            </w:r>
          </w:p>
        </w:tc>
        <w:tc>
          <w:tcPr>
            <w:tcW w:w="0" w:type="auto"/>
            <w:noWrap w:val="0"/>
            <w:vAlign w:val="center"/>
          </w:tcPr>
          <w:p w14:paraId="6F6E9E0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auto"/>
                <w:kern w:val="2"/>
                <w:sz w:val="24"/>
                <w:szCs w:val="24"/>
                <w:highlight w:val="none"/>
                <w:lang w:val="en-US" w:eastAsia="zh-CN" w:bidi="ar-SA"/>
              </w:rPr>
            </w:pPr>
            <w:r>
              <w:rPr>
                <w:rFonts w:hint="eastAsia" w:ascii="仿宋" w:hAnsi="仿宋" w:eastAsia="仿宋" w:cs="仿宋"/>
                <w:b w:val="0"/>
                <w:bCs w:val="0"/>
                <w:strike w:val="0"/>
                <w:dstrike w:val="0"/>
                <w:color w:val="auto"/>
                <w:sz w:val="24"/>
                <w:szCs w:val="24"/>
                <w:highlight w:val="none"/>
                <w:lang w:val="en-US" w:eastAsia="zh-CN"/>
              </w:rPr>
              <w:t>神木市经开区创业大道与创新路口</w:t>
            </w:r>
          </w:p>
        </w:tc>
      </w:tr>
      <w:tr w14:paraId="7D6B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0C83F582">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神木市公安局交管大队大保当中队</w:t>
            </w:r>
          </w:p>
        </w:tc>
        <w:tc>
          <w:tcPr>
            <w:tcW w:w="0" w:type="auto"/>
            <w:noWrap w:val="0"/>
            <w:vAlign w:val="center"/>
          </w:tcPr>
          <w:p w14:paraId="1698293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神木市大保当镇新华村别墅对面</w:t>
            </w:r>
          </w:p>
        </w:tc>
      </w:tr>
      <w:tr w14:paraId="5D8A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0BA3C1B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神木市公安局交管大队尔林兔中队</w:t>
            </w:r>
          </w:p>
        </w:tc>
        <w:tc>
          <w:tcPr>
            <w:tcW w:w="0" w:type="auto"/>
            <w:noWrap w:val="0"/>
            <w:vAlign w:val="center"/>
          </w:tcPr>
          <w:p w14:paraId="00F8898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神木市公安局交管大队尔林兔人民路新都饭店附近</w:t>
            </w:r>
          </w:p>
        </w:tc>
      </w:tr>
      <w:tr w14:paraId="1057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0" w:type="auto"/>
            <w:noWrap w:val="0"/>
            <w:vAlign w:val="center"/>
          </w:tcPr>
          <w:p w14:paraId="637B912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kern w:val="2"/>
                <w:sz w:val="24"/>
                <w:szCs w:val="24"/>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神木市公安局交管大队中鸡中队</w:t>
            </w:r>
          </w:p>
        </w:tc>
        <w:tc>
          <w:tcPr>
            <w:tcW w:w="0" w:type="auto"/>
            <w:noWrap w:val="0"/>
            <w:vAlign w:val="center"/>
          </w:tcPr>
          <w:p w14:paraId="448DD57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color w:val="000000"/>
                <w:kern w:val="2"/>
                <w:sz w:val="24"/>
                <w:szCs w:val="24"/>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神木市中鸡镇中元路1号</w:t>
            </w:r>
          </w:p>
        </w:tc>
      </w:tr>
      <w:tr w14:paraId="6EBD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3AD65CF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rPr>
              <w:t>神木市公安局交管大队高家堡中队</w:t>
            </w:r>
          </w:p>
        </w:tc>
        <w:tc>
          <w:tcPr>
            <w:tcW w:w="0" w:type="auto"/>
            <w:noWrap w:val="0"/>
            <w:vAlign w:val="center"/>
          </w:tcPr>
          <w:p w14:paraId="5BE8194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rPr>
              <w:t>神佳米高速路口</w:t>
            </w:r>
          </w:p>
        </w:tc>
      </w:tr>
      <w:tr w14:paraId="593CE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0" w:type="auto"/>
            <w:noWrap w:val="0"/>
            <w:vAlign w:val="center"/>
          </w:tcPr>
          <w:p w14:paraId="6C2FE6C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神木市公安局交管大队柠条塔中队</w:t>
            </w:r>
          </w:p>
        </w:tc>
        <w:tc>
          <w:tcPr>
            <w:tcW w:w="0" w:type="auto"/>
            <w:noWrap w:val="0"/>
            <w:vAlign w:val="center"/>
          </w:tcPr>
          <w:p w14:paraId="4B10DDD1">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孙家岔镇柠条塔村委会旁边（G338国道948公里500米）</w:t>
            </w:r>
          </w:p>
        </w:tc>
      </w:tr>
      <w:tr w14:paraId="59AA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0" w:type="auto"/>
            <w:noWrap w:val="0"/>
            <w:vAlign w:val="center"/>
          </w:tcPr>
          <w:p w14:paraId="444491E2">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b w:val="0"/>
                <w:bCs w:val="0"/>
                <w:strike w:val="0"/>
                <w:dstrike w:val="0"/>
                <w:color w:val="000000"/>
                <w:sz w:val="24"/>
                <w:szCs w:val="24"/>
                <w:highlight w:val="none"/>
                <w:lang w:val="en-US" w:eastAsia="zh-CN"/>
              </w:rPr>
              <w:t>神木市公安局交管大队沿黄中队</w:t>
            </w:r>
          </w:p>
        </w:tc>
        <w:tc>
          <w:tcPr>
            <w:tcW w:w="0" w:type="auto"/>
            <w:noWrap w:val="0"/>
            <w:vAlign w:val="center"/>
          </w:tcPr>
          <w:p w14:paraId="0B2BD4E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trike w:val="0"/>
                <w:dstrike w:val="0"/>
                <w:kern w:val="2"/>
                <w:sz w:val="24"/>
                <w:szCs w:val="24"/>
                <w:vertAlign w:val="baseline"/>
                <w:lang w:val="en-US" w:eastAsia="zh-CN" w:bidi="ar-SA"/>
              </w:rPr>
            </w:pPr>
            <w:r>
              <w:rPr>
                <w:rFonts w:hint="eastAsia" w:ascii="仿宋" w:hAnsi="仿宋" w:eastAsia="仿宋" w:cs="仿宋"/>
                <w:strike w:val="0"/>
                <w:dstrike w:val="0"/>
                <w:color w:val="000000"/>
                <w:sz w:val="24"/>
                <w:szCs w:val="24"/>
                <w:highlight w:val="none"/>
                <w:lang w:val="en-US" w:eastAsia="zh-CN"/>
              </w:rPr>
              <w:t>神盘路盘塘收费站东50米</w:t>
            </w:r>
          </w:p>
        </w:tc>
      </w:tr>
    </w:tbl>
    <w:p w14:paraId="7CE9D622">
      <w:pPr>
        <w:pStyle w:val="2"/>
        <w:jc w:val="both"/>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1.2采购人提供供应商使用的场地、设施、设备、材料等</w:t>
      </w:r>
    </w:p>
    <w:p w14:paraId="410DB1A6">
      <w:pPr>
        <w:numPr>
          <w:ilvl w:val="0"/>
          <w:numId w:val="0"/>
        </w:numPr>
        <w:spacing w:before="95" w:line="300" w:lineRule="auto"/>
        <w:ind w:right="99" w:rightChars="0" w:firstLine="480" w:firstLineChars="20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sz w:val="24"/>
          <w:szCs w:val="24"/>
        </w:rPr>
        <w:t>采购人为供应商在各服务网点提供必要的工作条件，包括但不限于：办公用房（大队机关可提供</w:t>
      </w:r>
      <w:r>
        <w:rPr>
          <w:rFonts w:hint="eastAsia" w:ascii="仿宋" w:hAnsi="仿宋" w:eastAsia="仿宋" w:cs="仿宋"/>
          <w:sz w:val="24"/>
          <w:szCs w:val="24"/>
          <w:lang w:val="en-US" w:eastAsia="zh-CN"/>
        </w:rPr>
        <w:t>2</w:t>
      </w:r>
      <w:r>
        <w:rPr>
          <w:rFonts w:hint="eastAsia" w:ascii="仿宋" w:hAnsi="仿宋" w:eastAsia="仿宋" w:cs="仿宋"/>
          <w:sz w:val="24"/>
          <w:szCs w:val="24"/>
        </w:rPr>
        <w:t>间）、值班室、更衣室、库房、水电接口等。</w:t>
      </w:r>
      <w:r>
        <w:rPr>
          <w:rFonts w:hint="eastAsia" w:ascii="仿宋" w:hAnsi="仿宋" w:eastAsia="仿宋" w:cs="仿宋"/>
          <w:color w:val="auto"/>
          <w:kern w:val="2"/>
          <w:sz w:val="24"/>
          <w:szCs w:val="24"/>
          <w:highlight w:val="none"/>
          <w:u w:val="none"/>
          <w:lang w:val="en-US" w:eastAsia="zh-CN" w:bidi="ar-SA"/>
        </w:rPr>
        <w:t>承担各网点水、电、燃气（锅炉用）费用;承担大型设施设备（锅炉、监控系统、道闸等）的专业维修、更换费用;承担维修材料费用;承担保洁消耗品（扫把、拖把、清洁剂、垃圾袋等）费用。</w:t>
      </w:r>
    </w:p>
    <w:p w14:paraId="0679AFFB">
      <w:pPr>
        <w:numPr>
          <w:ilvl w:val="0"/>
          <w:numId w:val="0"/>
        </w:numPr>
        <w:spacing w:before="95" w:line="300" w:lineRule="auto"/>
        <w:ind w:right="99" w:rightChars="0" w:firstLine="480" w:firstLineChars="20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kern w:val="2"/>
          <w:sz w:val="24"/>
          <w:szCs w:val="24"/>
          <w:highlight w:val="none"/>
          <w:u w:val="none"/>
          <w:lang w:val="en-US" w:eastAsia="zh-CN" w:bidi="ar-SA"/>
        </w:rPr>
        <w:t>供应商应当承担其它与物业管理服务有关的设施、设备等;供应商自用耗材（内部表格、办公用品等）。</w:t>
      </w:r>
    </w:p>
    <w:p w14:paraId="1020B7AC">
      <w:pPr>
        <w:pStyle w:val="2"/>
        <w:bidi w:val="0"/>
        <w:jc w:val="both"/>
        <w:rPr>
          <w:rFonts w:hint="default" w:eastAsia="宋体" w:cs="Times New Roman"/>
          <w:sz w:val="28"/>
          <w:szCs w:val="28"/>
          <w:highlight w:val="none"/>
          <w:lang w:val="en-US" w:eastAsia="zh-CN"/>
        </w:rPr>
      </w:pPr>
      <w:r>
        <w:rPr>
          <w:rFonts w:hint="eastAsia"/>
          <w:sz w:val="28"/>
          <w:szCs w:val="28"/>
          <w:highlight w:val="none"/>
          <w:lang w:val="en-US" w:eastAsia="zh-CN"/>
        </w:rPr>
        <w:t>2.物业服务范围</w:t>
      </w:r>
    </w:p>
    <w:p w14:paraId="1BF66E14">
      <w:pPr>
        <w:pStyle w:val="3"/>
        <w:numPr>
          <w:ilvl w:val="0"/>
          <w:numId w:val="0"/>
        </w:numPr>
        <w:bidi w:val="0"/>
        <w:jc w:val="both"/>
        <w:rPr>
          <w:rFonts w:hint="eastAsia" w:ascii="宋体" w:hAnsi="宋体" w:eastAsia="宋体" w:cs="宋体"/>
          <w:b/>
          <w:bCs w:val="0"/>
          <w:sz w:val="28"/>
          <w:szCs w:val="28"/>
          <w:u w:val="none"/>
          <w:lang w:val="en-US" w:eastAsia="zh-CN"/>
        </w:rPr>
      </w:pPr>
      <w:r>
        <w:rPr>
          <w:rFonts w:hint="eastAsia"/>
          <w:sz w:val="28"/>
          <w:szCs w:val="28"/>
          <w:highlight w:val="none"/>
          <w:u w:val="none"/>
          <w:lang w:val="en-US" w:eastAsia="zh-CN"/>
        </w:rPr>
        <w:t>1.物业管理（建筑物）</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270"/>
        <w:gridCol w:w="1360"/>
        <w:gridCol w:w="1271"/>
        <w:gridCol w:w="4051"/>
      </w:tblGrid>
      <w:tr w14:paraId="1970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581" w:type="dxa"/>
            <w:noWrap w:val="0"/>
            <w:vAlign w:val="center"/>
          </w:tcPr>
          <w:p w14:paraId="48880242">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highlight w:val="none"/>
                <w:lang w:val="en-US" w:eastAsia="zh-CN"/>
              </w:rPr>
              <w:t>序号</w:t>
            </w:r>
          </w:p>
        </w:tc>
        <w:tc>
          <w:tcPr>
            <w:tcW w:w="1346" w:type="dxa"/>
            <w:noWrap w:val="0"/>
            <w:vAlign w:val="center"/>
          </w:tcPr>
          <w:p w14:paraId="063859C3">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rPr>
            </w:pPr>
            <w:r>
              <w:rPr>
                <w:rFonts w:hint="eastAsia" w:ascii="仿宋" w:hAnsi="仿宋" w:eastAsia="仿宋" w:cs="仿宋"/>
                <w:b/>
                <w:bCs/>
                <w:sz w:val="24"/>
                <w:szCs w:val="24"/>
                <w:highlight w:val="none"/>
              </w:rPr>
              <w:t>物业名称</w:t>
            </w:r>
          </w:p>
        </w:tc>
        <w:tc>
          <w:tcPr>
            <w:tcW w:w="1400" w:type="dxa"/>
            <w:noWrap w:val="0"/>
            <w:vAlign w:val="center"/>
          </w:tcPr>
          <w:p w14:paraId="56CAC9A2">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rPr>
            </w:pPr>
            <w:r>
              <w:rPr>
                <w:rFonts w:hint="eastAsia" w:ascii="仿宋" w:hAnsi="仿宋" w:eastAsia="仿宋" w:cs="仿宋"/>
                <w:b/>
                <w:bCs/>
                <w:sz w:val="24"/>
                <w:szCs w:val="24"/>
                <w:highlight w:val="none"/>
              </w:rPr>
              <w:t>物业地址</w:t>
            </w:r>
          </w:p>
        </w:tc>
        <w:tc>
          <w:tcPr>
            <w:tcW w:w="1325" w:type="dxa"/>
            <w:noWrap w:val="0"/>
            <w:vAlign w:val="center"/>
          </w:tcPr>
          <w:p w14:paraId="32369265">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建筑面积</w:t>
            </w:r>
          </w:p>
        </w:tc>
        <w:tc>
          <w:tcPr>
            <w:tcW w:w="4341" w:type="dxa"/>
            <w:noWrap w:val="0"/>
            <w:vAlign w:val="center"/>
          </w:tcPr>
          <w:p w14:paraId="0515C928">
            <w:pPr>
              <w:jc w:val="center"/>
              <w:rPr>
                <w:rFonts w:hint="eastAsia" w:ascii="仿宋" w:hAnsi="仿宋" w:eastAsia="仿宋" w:cs="仿宋"/>
                <w:b/>
                <w:bCs/>
                <w:sz w:val="24"/>
              </w:rPr>
            </w:pPr>
            <w:r>
              <w:rPr>
                <w:rFonts w:hint="eastAsia" w:ascii="仿宋" w:hAnsi="仿宋" w:eastAsia="仿宋" w:cs="仿宋"/>
                <w:b/>
                <w:bCs/>
                <w:sz w:val="24"/>
              </w:rPr>
              <w:t>区域范围</w:t>
            </w:r>
          </w:p>
          <w:p w14:paraId="69B097F1">
            <w:pPr>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val="0"/>
                <w:bCs w:val="0"/>
                <w:sz w:val="24"/>
                <w:szCs w:val="24"/>
                <w:highlight w:val="none"/>
                <w:lang w:val="en-US" w:eastAsia="zh-CN"/>
              </w:rPr>
              <w:t>（办公楼大厅，电梯轿厢，消防楼梯，院子、会议室、墙壁、房间门、室内外卫生间、楼道走廊、大门、房屋玻璃、房外花坛等公共区域的清扫）</w:t>
            </w:r>
          </w:p>
        </w:tc>
      </w:tr>
      <w:tr w14:paraId="75DE0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5" w:hRule="atLeast"/>
        </w:trPr>
        <w:tc>
          <w:tcPr>
            <w:tcW w:w="581" w:type="dxa"/>
            <w:noWrap w:val="0"/>
            <w:vAlign w:val="center"/>
          </w:tcPr>
          <w:p w14:paraId="3717B17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1346" w:type="dxa"/>
            <w:noWrap w:val="0"/>
            <w:vAlign w:val="center"/>
          </w:tcPr>
          <w:p w14:paraId="3E8AE98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神木市公安局交管大队机关</w:t>
            </w:r>
          </w:p>
        </w:tc>
        <w:tc>
          <w:tcPr>
            <w:tcW w:w="1400" w:type="dxa"/>
            <w:noWrap w:val="0"/>
            <w:vAlign w:val="center"/>
          </w:tcPr>
          <w:p w14:paraId="77AE85D1">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东兴街中段1号</w:t>
            </w:r>
          </w:p>
        </w:tc>
        <w:tc>
          <w:tcPr>
            <w:tcW w:w="1325" w:type="dxa"/>
            <w:noWrap w:val="0"/>
            <w:vAlign w:val="center"/>
          </w:tcPr>
          <w:p w14:paraId="03FDED58">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5900㎡</w:t>
            </w:r>
          </w:p>
        </w:tc>
        <w:tc>
          <w:tcPr>
            <w:tcW w:w="4341" w:type="dxa"/>
            <w:noWrap w:val="0"/>
            <w:vAlign w:val="center"/>
          </w:tcPr>
          <w:p w14:paraId="4E484D65">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vertAlign w:val="baseline"/>
                <w:lang w:val="en-US"/>
              </w:rPr>
            </w:pPr>
            <w:r>
              <w:rPr>
                <w:rFonts w:hint="eastAsia" w:ascii="仿宋" w:hAnsi="仿宋" w:eastAsia="仿宋" w:cs="仿宋"/>
                <w:b w:val="0"/>
                <w:bCs w:val="0"/>
                <w:sz w:val="24"/>
                <w:szCs w:val="24"/>
                <w:highlight w:val="none"/>
                <w:lang w:val="en-US" w:eastAsia="zh-CN"/>
              </w:rPr>
              <w:t>1、</w:t>
            </w:r>
            <w:bookmarkStart w:id="3" w:name="OLE_LINK17"/>
            <w:bookmarkStart w:id="4" w:name="OLE_LINK18"/>
            <w:r>
              <w:rPr>
                <w:rFonts w:hint="eastAsia" w:ascii="仿宋" w:hAnsi="仿宋" w:eastAsia="仿宋" w:cs="仿宋"/>
                <w:b w:val="0"/>
                <w:bCs w:val="0"/>
                <w:sz w:val="24"/>
                <w:szCs w:val="24"/>
                <w:highlight w:val="none"/>
                <w:lang w:val="en-US" w:eastAsia="zh-CN"/>
              </w:rPr>
              <w:t>办公楼</w:t>
            </w:r>
            <w:bookmarkEnd w:id="3"/>
            <w:bookmarkEnd w:id="4"/>
            <w:r>
              <w:rPr>
                <w:rFonts w:hint="eastAsia" w:ascii="仿宋" w:hAnsi="仿宋" w:eastAsia="仿宋" w:cs="仿宋"/>
                <w:b w:val="0"/>
                <w:bCs w:val="0"/>
                <w:sz w:val="24"/>
                <w:szCs w:val="24"/>
                <w:highlight w:val="none"/>
                <w:lang w:val="en-US" w:eastAsia="zh-CN"/>
              </w:rPr>
              <w:t>2栋，1栋7层，办公面积5400㎡；1栋3层，办公面积1200㎡，电梯厅，电梯轿厢；2、门窗150个，门窗面积小计1400㎡；3、院子面积1900㎡；4、公共卫生间：数量34个，面积小计约424㎡；5、会议室：数量4个，面积小计约570㎡。</w:t>
            </w:r>
          </w:p>
        </w:tc>
      </w:tr>
      <w:tr w14:paraId="00AA0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0" w:hRule="atLeast"/>
        </w:trPr>
        <w:tc>
          <w:tcPr>
            <w:tcW w:w="581" w:type="dxa"/>
            <w:noWrap w:val="0"/>
            <w:vAlign w:val="center"/>
          </w:tcPr>
          <w:p w14:paraId="0A370ED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346" w:type="dxa"/>
            <w:noWrap w:val="0"/>
            <w:vAlign w:val="center"/>
          </w:tcPr>
          <w:p w14:paraId="15858A1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神木市公安局交管大队车管所</w:t>
            </w:r>
          </w:p>
        </w:tc>
        <w:tc>
          <w:tcPr>
            <w:tcW w:w="1400" w:type="dxa"/>
            <w:noWrap w:val="0"/>
            <w:vAlign w:val="center"/>
          </w:tcPr>
          <w:p w14:paraId="0028796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神木市西山路与铧阳路交叉路口</w:t>
            </w:r>
          </w:p>
        </w:tc>
        <w:tc>
          <w:tcPr>
            <w:tcW w:w="1325" w:type="dxa"/>
            <w:noWrap w:val="0"/>
            <w:vAlign w:val="center"/>
          </w:tcPr>
          <w:p w14:paraId="383ED2E0">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sz w:val="24"/>
                <w:szCs w:val="24"/>
                <w:highlight w:val="none"/>
                <w:vertAlign w:val="baseline"/>
                <w:lang w:val="en-US" w:eastAsia="zh-CN"/>
              </w:rPr>
              <w:t>4400㎡</w:t>
            </w:r>
          </w:p>
        </w:tc>
        <w:tc>
          <w:tcPr>
            <w:tcW w:w="4341" w:type="dxa"/>
            <w:noWrap w:val="0"/>
            <w:vAlign w:val="center"/>
          </w:tcPr>
          <w:p w14:paraId="41453ACE">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vertAlign w:val="baseline"/>
                <w:lang w:val="en-US"/>
              </w:rPr>
            </w:pPr>
            <w:r>
              <w:rPr>
                <w:rFonts w:hint="eastAsia" w:ascii="仿宋" w:hAnsi="仿宋" w:eastAsia="仿宋" w:cs="仿宋"/>
                <w:b w:val="0"/>
                <w:bCs w:val="0"/>
                <w:sz w:val="24"/>
                <w:szCs w:val="24"/>
                <w:highlight w:val="none"/>
                <w:lang w:val="en-US" w:eastAsia="zh-CN"/>
              </w:rPr>
              <w:t>1、 办公楼5栋，2栋2层，3栋1层，办公面积3560平方米；2、门窗260个，门窗面积小计1200㎡；3㎡；5、会议室：数量3个，面积小计约240㎡。、院子面积16000㎡；4、公共卫生间：数量7个，面积小计约180㎡。</w:t>
            </w:r>
          </w:p>
        </w:tc>
      </w:tr>
      <w:tr w14:paraId="1A3B0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0" w:hRule="atLeast"/>
        </w:trPr>
        <w:tc>
          <w:tcPr>
            <w:tcW w:w="581" w:type="dxa"/>
            <w:noWrap w:val="0"/>
            <w:vAlign w:val="center"/>
          </w:tcPr>
          <w:p w14:paraId="125419A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1346" w:type="dxa"/>
            <w:noWrap w:val="0"/>
            <w:vAlign w:val="center"/>
          </w:tcPr>
          <w:p w14:paraId="1015F440">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神木市公安局交管</w:t>
            </w:r>
            <w:r>
              <w:rPr>
                <w:rFonts w:hint="eastAsia" w:ascii="仿宋" w:hAnsi="仿宋" w:eastAsia="仿宋" w:cs="仿宋"/>
                <w:b w:val="0"/>
                <w:bCs w:val="0"/>
                <w:sz w:val="24"/>
                <w:szCs w:val="24"/>
                <w:highlight w:val="none"/>
                <w:lang w:val="en-US" w:eastAsia="zh-CN"/>
              </w:rPr>
              <w:t>事故中队</w:t>
            </w:r>
          </w:p>
        </w:tc>
        <w:tc>
          <w:tcPr>
            <w:tcW w:w="1400" w:type="dxa"/>
            <w:noWrap w:val="0"/>
            <w:vAlign w:val="center"/>
          </w:tcPr>
          <w:p w14:paraId="4591014A">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神木市西山路与铧阳路交叉路口</w:t>
            </w:r>
          </w:p>
        </w:tc>
        <w:tc>
          <w:tcPr>
            <w:tcW w:w="1325" w:type="dxa"/>
            <w:noWrap w:val="0"/>
            <w:vAlign w:val="center"/>
          </w:tcPr>
          <w:p w14:paraId="18530443">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sz w:val="24"/>
                <w:lang w:val="en-US" w:eastAsia="zh-CN"/>
              </w:rPr>
              <w:t>2300</w:t>
            </w:r>
            <w:r>
              <w:rPr>
                <w:rFonts w:hint="eastAsia" w:ascii="仿宋" w:hAnsi="仿宋" w:eastAsia="仿宋" w:cs="仿宋"/>
                <w:sz w:val="24"/>
              </w:rPr>
              <w:t>㎡</w:t>
            </w:r>
          </w:p>
        </w:tc>
        <w:tc>
          <w:tcPr>
            <w:tcW w:w="4341" w:type="dxa"/>
            <w:noWrap w:val="0"/>
            <w:vAlign w:val="center"/>
          </w:tcPr>
          <w:p w14:paraId="76371037">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 办公楼1栋3层，办公面积2100平方米；2、门窗69个，门窗面积小计900㎡；3㎡；5、会议室：数量1个，面积小计约100㎡。、院子面积3000㎡；4、公共卫生间：数量3个，面积小计约180㎡。</w:t>
            </w:r>
          </w:p>
        </w:tc>
      </w:tr>
      <w:tr w14:paraId="77D6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5" w:hRule="atLeast"/>
        </w:trPr>
        <w:tc>
          <w:tcPr>
            <w:tcW w:w="581" w:type="dxa"/>
            <w:noWrap w:val="0"/>
            <w:vAlign w:val="center"/>
          </w:tcPr>
          <w:p w14:paraId="0FB32EE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1346" w:type="dxa"/>
            <w:noWrap w:val="0"/>
            <w:vAlign w:val="center"/>
          </w:tcPr>
          <w:p w14:paraId="7AF92429">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神木市公安局交管大队一中队</w:t>
            </w:r>
          </w:p>
        </w:tc>
        <w:tc>
          <w:tcPr>
            <w:tcW w:w="1400" w:type="dxa"/>
            <w:noWrap w:val="0"/>
            <w:vAlign w:val="center"/>
          </w:tcPr>
          <w:p w14:paraId="3699DF6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东兴街中段1号-附1</w:t>
            </w:r>
          </w:p>
        </w:tc>
        <w:tc>
          <w:tcPr>
            <w:tcW w:w="1325" w:type="dxa"/>
            <w:noWrap w:val="0"/>
            <w:vAlign w:val="center"/>
          </w:tcPr>
          <w:p w14:paraId="32112E88">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1300㎡</w:t>
            </w:r>
          </w:p>
        </w:tc>
        <w:tc>
          <w:tcPr>
            <w:tcW w:w="4341" w:type="dxa"/>
            <w:noWrap w:val="0"/>
            <w:vAlign w:val="center"/>
          </w:tcPr>
          <w:p w14:paraId="40BD62D6">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1、办公楼2栋，每栋3层，办公面积1100平方米；2、门窗78个，门窗面积小计390㎡；3、院子面积116㎡；4、公共卫生间：数量5个，面积小计约100㎡；5、会议室：数量2个，面积小计约60㎡。</w:t>
            </w:r>
          </w:p>
        </w:tc>
      </w:tr>
      <w:tr w14:paraId="582B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581" w:type="dxa"/>
            <w:noWrap w:val="0"/>
            <w:vAlign w:val="center"/>
          </w:tcPr>
          <w:p w14:paraId="582512C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w:t>
            </w:r>
          </w:p>
        </w:tc>
        <w:tc>
          <w:tcPr>
            <w:tcW w:w="1346" w:type="dxa"/>
            <w:noWrap w:val="0"/>
            <w:vAlign w:val="center"/>
          </w:tcPr>
          <w:p w14:paraId="3A46D5D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神木市公安局交管大队二中队</w:t>
            </w:r>
          </w:p>
        </w:tc>
        <w:tc>
          <w:tcPr>
            <w:tcW w:w="1400" w:type="dxa"/>
            <w:noWrap w:val="0"/>
            <w:vAlign w:val="center"/>
          </w:tcPr>
          <w:p w14:paraId="6DBE878D">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九龙大道自强路丁字路口</w:t>
            </w:r>
          </w:p>
        </w:tc>
        <w:tc>
          <w:tcPr>
            <w:tcW w:w="1325" w:type="dxa"/>
            <w:noWrap w:val="0"/>
            <w:vAlign w:val="center"/>
          </w:tcPr>
          <w:p w14:paraId="7E433399">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3300㎡</w:t>
            </w:r>
          </w:p>
        </w:tc>
        <w:tc>
          <w:tcPr>
            <w:tcW w:w="4341" w:type="dxa"/>
            <w:noWrap w:val="0"/>
            <w:vAlign w:val="center"/>
          </w:tcPr>
          <w:p w14:paraId="627B42F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1、办公楼1栋4层，办公面积2930.3平方米；2、门窗175个，门窗面积小计1500㎡；3、院子面积200㎡；4、公共卫生间：数量8个，面积小计约80㎡；5、会议室：数量1个，面积小计约160㎡。</w:t>
            </w:r>
          </w:p>
        </w:tc>
      </w:tr>
      <w:tr w14:paraId="5BB9F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81" w:type="dxa"/>
            <w:noWrap w:val="0"/>
            <w:vAlign w:val="center"/>
          </w:tcPr>
          <w:p w14:paraId="15BA435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1346" w:type="dxa"/>
            <w:noWrap w:val="0"/>
            <w:vAlign w:val="center"/>
          </w:tcPr>
          <w:p w14:paraId="1D0CDD7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神木市公安局交管大队滨河新区中队</w:t>
            </w:r>
          </w:p>
        </w:tc>
        <w:tc>
          <w:tcPr>
            <w:tcW w:w="1400" w:type="dxa"/>
            <w:noWrap w:val="0"/>
            <w:vAlign w:val="center"/>
          </w:tcPr>
          <w:p w14:paraId="3616762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G336国道硬地场村委会南200米处</w:t>
            </w:r>
          </w:p>
        </w:tc>
        <w:tc>
          <w:tcPr>
            <w:tcW w:w="1325" w:type="dxa"/>
            <w:noWrap w:val="0"/>
            <w:vAlign w:val="center"/>
          </w:tcPr>
          <w:p w14:paraId="2F8995D1">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2100㎡</w:t>
            </w:r>
          </w:p>
        </w:tc>
        <w:tc>
          <w:tcPr>
            <w:tcW w:w="4341" w:type="dxa"/>
            <w:noWrap w:val="0"/>
            <w:vAlign w:val="center"/>
          </w:tcPr>
          <w:p w14:paraId="6ABB2760">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1、办公楼1栋4层，办公面积1335.6平方米；2、门窗41个，门窗面积小计700㎡；3、院子面积235㎡；4、公共卫生间：数量8个，面积小计约136㎡；5、会议室：数量1个，面积小计约74㎡。</w:t>
            </w:r>
          </w:p>
        </w:tc>
      </w:tr>
      <w:tr w14:paraId="6AC6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581" w:type="dxa"/>
            <w:noWrap w:val="0"/>
            <w:vAlign w:val="center"/>
          </w:tcPr>
          <w:p w14:paraId="1E09559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w:t>
            </w:r>
          </w:p>
        </w:tc>
        <w:tc>
          <w:tcPr>
            <w:tcW w:w="1346" w:type="dxa"/>
            <w:noWrap w:val="0"/>
            <w:vAlign w:val="center"/>
          </w:tcPr>
          <w:p w14:paraId="1827DFA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神木市公安局交管大队店塔中队</w:t>
            </w:r>
          </w:p>
        </w:tc>
        <w:tc>
          <w:tcPr>
            <w:tcW w:w="1400" w:type="dxa"/>
            <w:noWrap w:val="0"/>
            <w:vAlign w:val="center"/>
          </w:tcPr>
          <w:p w14:paraId="7AECC74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神木市店塔镇衡阳大道257号</w:t>
            </w:r>
          </w:p>
        </w:tc>
        <w:tc>
          <w:tcPr>
            <w:tcW w:w="1325" w:type="dxa"/>
            <w:noWrap w:val="0"/>
            <w:vAlign w:val="center"/>
          </w:tcPr>
          <w:p w14:paraId="3E0DF13C">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1356㎡</w:t>
            </w:r>
          </w:p>
        </w:tc>
        <w:tc>
          <w:tcPr>
            <w:tcW w:w="4341" w:type="dxa"/>
            <w:noWrap w:val="0"/>
            <w:vAlign w:val="center"/>
          </w:tcPr>
          <w:p w14:paraId="2075A3D2">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1、办公楼2栋，每栋2层，办公面积1180平方米；2、门窗74个，门窗面积小计286㎡；3、院子面积236㎡；4、公共卫生间：数量3个，面积小计约47.04㎡；5、会议室：数量2个，面积小计约30㎡。</w:t>
            </w:r>
          </w:p>
        </w:tc>
      </w:tr>
      <w:tr w14:paraId="3FE91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581" w:type="dxa"/>
            <w:noWrap w:val="0"/>
            <w:vAlign w:val="center"/>
          </w:tcPr>
          <w:p w14:paraId="0860236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8</w:t>
            </w:r>
          </w:p>
        </w:tc>
        <w:tc>
          <w:tcPr>
            <w:tcW w:w="1346" w:type="dxa"/>
            <w:noWrap w:val="0"/>
            <w:vAlign w:val="center"/>
          </w:tcPr>
          <w:p w14:paraId="64A36E0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神木市公安局交管大队大柳塔中队</w:t>
            </w:r>
          </w:p>
        </w:tc>
        <w:tc>
          <w:tcPr>
            <w:tcW w:w="1400" w:type="dxa"/>
            <w:noWrap w:val="0"/>
            <w:vAlign w:val="center"/>
          </w:tcPr>
          <w:p w14:paraId="174884D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神木市大柳塔洪发宾馆对面</w:t>
            </w:r>
          </w:p>
        </w:tc>
        <w:tc>
          <w:tcPr>
            <w:tcW w:w="1325" w:type="dxa"/>
            <w:noWrap w:val="0"/>
            <w:vAlign w:val="center"/>
          </w:tcPr>
          <w:p w14:paraId="504EF598">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4030㎡</w:t>
            </w:r>
          </w:p>
        </w:tc>
        <w:tc>
          <w:tcPr>
            <w:tcW w:w="4341" w:type="dxa"/>
            <w:noWrap w:val="0"/>
            <w:vAlign w:val="center"/>
          </w:tcPr>
          <w:p w14:paraId="22331E3D">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1、办公楼3栋，每栋3层，办公面积2821平方米；2、门窗116个，门窗面积小计534㎡；3、院子面积1,585㎡；4、公共卫生间：数量25个，面积小计约150㎡；5、会议室：数量2个，面积小计约80㎡。</w:t>
            </w:r>
          </w:p>
        </w:tc>
      </w:tr>
      <w:tr w14:paraId="429B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2" w:hRule="atLeast"/>
        </w:trPr>
        <w:tc>
          <w:tcPr>
            <w:tcW w:w="581" w:type="dxa"/>
            <w:noWrap w:val="0"/>
            <w:vAlign w:val="center"/>
          </w:tcPr>
          <w:p w14:paraId="3DC9B7B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9</w:t>
            </w:r>
          </w:p>
        </w:tc>
        <w:tc>
          <w:tcPr>
            <w:tcW w:w="1346" w:type="dxa"/>
            <w:noWrap w:val="0"/>
            <w:vAlign w:val="center"/>
          </w:tcPr>
          <w:p w14:paraId="3427C4E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神木市公安局交管大队西沟中队</w:t>
            </w:r>
          </w:p>
        </w:tc>
        <w:tc>
          <w:tcPr>
            <w:tcW w:w="1400" w:type="dxa"/>
            <w:noWrap w:val="0"/>
            <w:vAlign w:val="center"/>
          </w:tcPr>
          <w:p w14:paraId="2587189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神木市G337国道850公里处</w:t>
            </w:r>
          </w:p>
        </w:tc>
        <w:tc>
          <w:tcPr>
            <w:tcW w:w="1325" w:type="dxa"/>
            <w:noWrap w:val="0"/>
            <w:vAlign w:val="center"/>
          </w:tcPr>
          <w:p w14:paraId="6C911417">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1120㎡</w:t>
            </w:r>
          </w:p>
        </w:tc>
        <w:tc>
          <w:tcPr>
            <w:tcW w:w="4341" w:type="dxa"/>
            <w:noWrap w:val="0"/>
            <w:vAlign w:val="center"/>
          </w:tcPr>
          <w:p w14:paraId="7AD045A2">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1、办公楼1栋3层，办公面积950平方米；2、门窗65个，门窗面积小计460㎡；3、院子面积1000㎡；4、公共卫生间：数量3个，面积小计约45㎡；5、会议室：数量1个，面积小计约30㎡。6.锅炉房面积60㎡。</w:t>
            </w:r>
          </w:p>
        </w:tc>
      </w:tr>
      <w:tr w14:paraId="37927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0A7337F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10</w:t>
            </w:r>
          </w:p>
        </w:tc>
        <w:tc>
          <w:tcPr>
            <w:tcW w:w="1346" w:type="dxa"/>
            <w:noWrap w:val="0"/>
            <w:vAlign w:val="center"/>
          </w:tcPr>
          <w:p w14:paraId="2385A87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rPr>
              <w:t>神木市公安局交管大队锦界中队</w:t>
            </w:r>
          </w:p>
        </w:tc>
        <w:tc>
          <w:tcPr>
            <w:tcW w:w="1400" w:type="dxa"/>
            <w:noWrap w:val="0"/>
            <w:vAlign w:val="center"/>
          </w:tcPr>
          <w:p w14:paraId="4949FEE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rPr>
              <w:t>锦界镇锦大路与锦绣大街交叉口</w:t>
            </w:r>
          </w:p>
        </w:tc>
        <w:tc>
          <w:tcPr>
            <w:tcW w:w="1325" w:type="dxa"/>
            <w:noWrap w:val="0"/>
            <w:vAlign w:val="center"/>
          </w:tcPr>
          <w:p w14:paraId="53F2C9C4">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1371㎡</w:t>
            </w:r>
          </w:p>
        </w:tc>
        <w:tc>
          <w:tcPr>
            <w:tcW w:w="4341" w:type="dxa"/>
            <w:noWrap w:val="0"/>
            <w:vAlign w:val="center"/>
          </w:tcPr>
          <w:p w14:paraId="5BBE3624">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1、办公楼2栋，1栋2层，1栋3层，办公面积960平方米；2、门窗100个，门窗面积小计310㎡；3、院子面积2156㎡；4.公共卫生间：数量3个，面积小计约25.7㎡；5.会议室：数量1个，面积约29㎡。</w:t>
            </w:r>
          </w:p>
        </w:tc>
      </w:tr>
      <w:tr w14:paraId="1BEB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0" w:hRule="atLeast"/>
        </w:trPr>
        <w:tc>
          <w:tcPr>
            <w:tcW w:w="581" w:type="dxa"/>
            <w:noWrap w:val="0"/>
            <w:vAlign w:val="center"/>
          </w:tcPr>
          <w:p w14:paraId="4E74590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11</w:t>
            </w:r>
          </w:p>
        </w:tc>
        <w:tc>
          <w:tcPr>
            <w:tcW w:w="1346" w:type="dxa"/>
            <w:noWrap w:val="0"/>
            <w:vAlign w:val="center"/>
          </w:tcPr>
          <w:p w14:paraId="086C1DD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神木市公安局交管大队神盘路中队</w:t>
            </w:r>
          </w:p>
        </w:tc>
        <w:tc>
          <w:tcPr>
            <w:tcW w:w="1400" w:type="dxa"/>
            <w:noWrap w:val="0"/>
            <w:vAlign w:val="center"/>
          </w:tcPr>
          <w:p w14:paraId="71C8EAC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神木市神盘路侯川超限站</w:t>
            </w:r>
          </w:p>
        </w:tc>
        <w:tc>
          <w:tcPr>
            <w:tcW w:w="1325" w:type="dxa"/>
            <w:noWrap w:val="0"/>
            <w:vAlign w:val="center"/>
          </w:tcPr>
          <w:p w14:paraId="76131FD7">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1100㎡</w:t>
            </w:r>
          </w:p>
        </w:tc>
        <w:tc>
          <w:tcPr>
            <w:tcW w:w="4341" w:type="dxa"/>
            <w:noWrap w:val="0"/>
            <w:vAlign w:val="center"/>
          </w:tcPr>
          <w:p w14:paraId="300B4760">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1、办公楼1栋3层，办公面积770平方米；2、门窗53个，门窗面积小计1100㎡；3、院子面积1000㎡；4、公共卫生间：数量2个，面积小计约150㎡；5、会议室：数量1个，面积约80㎡。6、锅炉房面积30㎡。</w:t>
            </w:r>
          </w:p>
        </w:tc>
      </w:tr>
      <w:tr w14:paraId="1A5B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trPr>
        <w:tc>
          <w:tcPr>
            <w:tcW w:w="581" w:type="dxa"/>
            <w:noWrap w:val="0"/>
            <w:vAlign w:val="center"/>
          </w:tcPr>
          <w:p w14:paraId="42D38AF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sz w:val="24"/>
                <w:szCs w:val="24"/>
                <w:vertAlign w:val="baseline"/>
                <w:lang w:val="en-US" w:eastAsia="zh-CN"/>
              </w:rPr>
              <w:t>12</w:t>
            </w:r>
          </w:p>
        </w:tc>
        <w:tc>
          <w:tcPr>
            <w:tcW w:w="1346" w:type="dxa"/>
            <w:noWrap w:val="0"/>
            <w:vAlign w:val="center"/>
          </w:tcPr>
          <w:p w14:paraId="51BA766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神木市公安局交管大队西沙中队</w:t>
            </w:r>
          </w:p>
        </w:tc>
        <w:tc>
          <w:tcPr>
            <w:tcW w:w="1400" w:type="dxa"/>
            <w:noWrap w:val="0"/>
            <w:vAlign w:val="center"/>
          </w:tcPr>
          <w:p w14:paraId="55D87D3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神木市经开区创业大道与创新路口</w:t>
            </w:r>
          </w:p>
        </w:tc>
        <w:tc>
          <w:tcPr>
            <w:tcW w:w="1325" w:type="dxa"/>
            <w:noWrap w:val="0"/>
            <w:vAlign w:val="center"/>
          </w:tcPr>
          <w:p w14:paraId="411DAAE8">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1550㎡</w:t>
            </w:r>
          </w:p>
        </w:tc>
        <w:tc>
          <w:tcPr>
            <w:tcW w:w="4341" w:type="dxa"/>
            <w:noWrap w:val="0"/>
            <w:vAlign w:val="center"/>
          </w:tcPr>
          <w:p w14:paraId="251B27E3">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1、办公楼1栋3层，办公面积1320平方米；2、门窗60个，门窗面积小计195㎡；3、院子面积1,000㎡；4、公共卫生间：数量19个，面积小计约95㎡；5、会议室：数量1个，面积约49㎡。</w:t>
            </w:r>
          </w:p>
        </w:tc>
      </w:tr>
      <w:tr w14:paraId="3D4B6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581" w:type="dxa"/>
            <w:noWrap w:val="0"/>
            <w:vAlign w:val="center"/>
          </w:tcPr>
          <w:p w14:paraId="7F9E8F3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13</w:t>
            </w:r>
          </w:p>
        </w:tc>
        <w:tc>
          <w:tcPr>
            <w:tcW w:w="1346" w:type="dxa"/>
            <w:noWrap w:val="0"/>
            <w:vAlign w:val="center"/>
          </w:tcPr>
          <w:p w14:paraId="0A1774D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神木市公安局交管大队大保当中队</w:t>
            </w:r>
          </w:p>
        </w:tc>
        <w:tc>
          <w:tcPr>
            <w:tcW w:w="1400" w:type="dxa"/>
            <w:noWrap w:val="0"/>
            <w:vAlign w:val="center"/>
          </w:tcPr>
          <w:p w14:paraId="04839CD9">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神木市大保当镇新华村别墅对面</w:t>
            </w:r>
          </w:p>
        </w:tc>
        <w:tc>
          <w:tcPr>
            <w:tcW w:w="1325" w:type="dxa"/>
            <w:noWrap w:val="0"/>
            <w:vAlign w:val="center"/>
          </w:tcPr>
          <w:p w14:paraId="18007EC2">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3850㎡</w:t>
            </w:r>
          </w:p>
        </w:tc>
        <w:tc>
          <w:tcPr>
            <w:tcW w:w="4341" w:type="dxa"/>
            <w:noWrap w:val="0"/>
            <w:vAlign w:val="center"/>
          </w:tcPr>
          <w:p w14:paraId="015360DD">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1、办公楼3栋，1栋4层，2栋1层，办公面积2695.4平方米；2、门窗230个，门窗面积小计1214㎡；3、院子面积3000㎡；4、公共卫生间：数量28个，面积小计约700㎡；5、会议室：数量3个，面积小计约156㎡。</w:t>
            </w:r>
          </w:p>
        </w:tc>
      </w:tr>
      <w:tr w14:paraId="1637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3D9F570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14</w:t>
            </w:r>
          </w:p>
        </w:tc>
        <w:tc>
          <w:tcPr>
            <w:tcW w:w="1346" w:type="dxa"/>
            <w:noWrap w:val="0"/>
            <w:vAlign w:val="center"/>
          </w:tcPr>
          <w:p w14:paraId="32BC66D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神木市公安局交管大队尔林兔中队</w:t>
            </w:r>
          </w:p>
        </w:tc>
        <w:tc>
          <w:tcPr>
            <w:tcW w:w="1400" w:type="dxa"/>
            <w:noWrap w:val="0"/>
            <w:vAlign w:val="center"/>
          </w:tcPr>
          <w:p w14:paraId="205F5D7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神木市公安局交管大队尔林兔人民路新都饭店附近</w:t>
            </w:r>
          </w:p>
        </w:tc>
        <w:tc>
          <w:tcPr>
            <w:tcW w:w="1325" w:type="dxa"/>
            <w:noWrap w:val="0"/>
            <w:vAlign w:val="center"/>
          </w:tcPr>
          <w:p w14:paraId="6B101C00">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1960㎡</w:t>
            </w:r>
          </w:p>
        </w:tc>
        <w:tc>
          <w:tcPr>
            <w:tcW w:w="4341" w:type="dxa"/>
            <w:noWrap w:val="0"/>
            <w:vAlign w:val="center"/>
          </w:tcPr>
          <w:p w14:paraId="5C571554">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1、办公楼1栋1层，1栋2层，办公面积1500平方米；2、门窗98个，门窗面积小计618.4㎡；3、院子面积3,240㎡；4、公共卫生间：数量12个，面积小计约36㎡；5、会议室：数量2个，面积小计约103㎡。</w:t>
            </w:r>
          </w:p>
        </w:tc>
      </w:tr>
      <w:tr w14:paraId="44C9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4493DBA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15</w:t>
            </w:r>
          </w:p>
        </w:tc>
        <w:tc>
          <w:tcPr>
            <w:tcW w:w="1346" w:type="dxa"/>
            <w:noWrap w:val="0"/>
            <w:vAlign w:val="center"/>
          </w:tcPr>
          <w:p w14:paraId="7130B46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highlight w:val="none"/>
                <w:lang w:val="en-US" w:eastAsia="zh-CN"/>
              </w:rPr>
              <w:t>神木市公安局交管大队中鸡中队</w:t>
            </w:r>
          </w:p>
        </w:tc>
        <w:tc>
          <w:tcPr>
            <w:tcW w:w="1400" w:type="dxa"/>
            <w:noWrap w:val="0"/>
            <w:vAlign w:val="center"/>
          </w:tcPr>
          <w:p w14:paraId="1AC5E75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highlight w:val="none"/>
                <w:lang w:val="en-US" w:eastAsia="zh-CN"/>
              </w:rPr>
              <w:t>神木市中鸡镇中元路1号</w:t>
            </w:r>
          </w:p>
        </w:tc>
        <w:tc>
          <w:tcPr>
            <w:tcW w:w="1325" w:type="dxa"/>
            <w:noWrap w:val="0"/>
            <w:vAlign w:val="center"/>
          </w:tcPr>
          <w:p w14:paraId="5C99D97E">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color w:val="auto"/>
                <w:sz w:val="24"/>
                <w:szCs w:val="24"/>
                <w:highlight w:val="none"/>
                <w:vertAlign w:val="baseline"/>
                <w:lang w:val="en-US" w:eastAsia="zh-CN"/>
              </w:rPr>
              <w:t>2950㎡</w:t>
            </w:r>
          </w:p>
        </w:tc>
        <w:tc>
          <w:tcPr>
            <w:tcW w:w="4341" w:type="dxa"/>
            <w:noWrap w:val="0"/>
            <w:vAlign w:val="center"/>
          </w:tcPr>
          <w:p w14:paraId="5197C60B">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1、1栋3层，办公面积2700平方米；2、门窗102个，门窗面积小计288.72㎡；3、院子面积1240㎡；4、公共卫生间：数量3个，面积小计约60.06㎡；5、会议室：数量2个，面积小计约103㎡。</w:t>
            </w:r>
          </w:p>
        </w:tc>
      </w:tr>
      <w:tr w14:paraId="3CE9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01C3CEE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16</w:t>
            </w:r>
          </w:p>
        </w:tc>
        <w:tc>
          <w:tcPr>
            <w:tcW w:w="1346" w:type="dxa"/>
            <w:noWrap w:val="0"/>
            <w:vAlign w:val="center"/>
          </w:tcPr>
          <w:p w14:paraId="567C9F5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rPr>
              <w:t>神木市公安局交管大队高家堡中队</w:t>
            </w:r>
          </w:p>
        </w:tc>
        <w:tc>
          <w:tcPr>
            <w:tcW w:w="1400" w:type="dxa"/>
            <w:noWrap w:val="0"/>
            <w:vAlign w:val="center"/>
          </w:tcPr>
          <w:p w14:paraId="748F3F5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rPr>
              <w:t>神佳米高速路口</w:t>
            </w:r>
          </w:p>
        </w:tc>
        <w:tc>
          <w:tcPr>
            <w:tcW w:w="1325" w:type="dxa"/>
            <w:noWrap w:val="0"/>
            <w:vAlign w:val="center"/>
          </w:tcPr>
          <w:p w14:paraId="4C380834">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3300㎡</w:t>
            </w:r>
          </w:p>
        </w:tc>
        <w:tc>
          <w:tcPr>
            <w:tcW w:w="4341" w:type="dxa"/>
            <w:noWrap w:val="0"/>
            <w:vAlign w:val="center"/>
          </w:tcPr>
          <w:p w14:paraId="19D7EA60">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1、一栋3层，一栋1层,占地面积3200平方米；2、门窗58个，门窗面积小计124.7㎡；3、院子面积2,134㎡；4、公共卫生间：数量3个，面积小计约23.4㎡；5、会议室：数量1个，面积约22㎡。</w:t>
            </w:r>
          </w:p>
        </w:tc>
      </w:tr>
      <w:tr w14:paraId="59BD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4F25B19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17</w:t>
            </w:r>
          </w:p>
        </w:tc>
        <w:tc>
          <w:tcPr>
            <w:tcW w:w="1346" w:type="dxa"/>
            <w:noWrap w:val="0"/>
            <w:vAlign w:val="center"/>
          </w:tcPr>
          <w:p w14:paraId="7217A88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神木市公安局交管大队柠条塔中队</w:t>
            </w:r>
          </w:p>
        </w:tc>
        <w:tc>
          <w:tcPr>
            <w:tcW w:w="1400" w:type="dxa"/>
            <w:noWrap w:val="0"/>
            <w:vAlign w:val="center"/>
          </w:tcPr>
          <w:p w14:paraId="0ED8616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sz w:val="24"/>
                <w:szCs w:val="24"/>
                <w:vertAlign w:val="baseline"/>
              </w:rPr>
            </w:pPr>
            <w:r>
              <w:rPr>
                <w:rFonts w:hint="eastAsia" w:ascii="仿宋" w:hAnsi="仿宋" w:eastAsia="仿宋" w:cs="仿宋"/>
                <w:b w:val="0"/>
                <w:bCs w:val="0"/>
                <w:color w:val="000000"/>
                <w:sz w:val="24"/>
                <w:szCs w:val="24"/>
                <w:highlight w:val="none"/>
                <w:lang w:val="en-US" w:eastAsia="zh-CN"/>
              </w:rPr>
              <w:t>孙家岔镇柠条塔村委会旁边（G338国道948公里500米）</w:t>
            </w:r>
          </w:p>
        </w:tc>
        <w:tc>
          <w:tcPr>
            <w:tcW w:w="1325" w:type="dxa"/>
            <w:noWrap w:val="0"/>
            <w:vAlign w:val="center"/>
          </w:tcPr>
          <w:p w14:paraId="0EA240BD">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sz w:val="24"/>
                <w:szCs w:val="24"/>
                <w:vertAlign w:val="baseline"/>
              </w:rPr>
            </w:pPr>
            <w:r>
              <w:rPr>
                <w:rFonts w:hint="eastAsia" w:ascii="仿宋" w:hAnsi="仿宋" w:eastAsia="仿宋" w:cs="仿宋"/>
                <w:sz w:val="24"/>
                <w:szCs w:val="24"/>
                <w:highlight w:val="none"/>
                <w:vertAlign w:val="baseline"/>
                <w:lang w:val="en-US" w:eastAsia="zh-CN"/>
              </w:rPr>
              <w:t>1900㎡</w:t>
            </w:r>
          </w:p>
        </w:tc>
        <w:tc>
          <w:tcPr>
            <w:tcW w:w="4341" w:type="dxa"/>
            <w:noWrap w:val="0"/>
            <w:vAlign w:val="center"/>
          </w:tcPr>
          <w:p w14:paraId="35AB0899">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1、一栋5.5层，电梯厅，电梯轿厢，办公面积1760平方米；2、门窗151个，门窗面积小计418㎡；3.院子面积1024㎡；4.公共卫生间：数量5个，面积小计约75㎡；5.会议室：数量2个，面积小计约28㎡。</w:t>
            </w:r>
          </w:p>
        </w:tc>
      </w:tr>
      <w:tr w14:paraId="4A69C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4DFEE0F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18</w:t>
            </w:r>
          </w:p>
        </w:tc>
        <w:tc>
          <w:tcPr>
            <w:tcW w:w="1346" w:type="dxa"/>
            <w:noWrap w:val="0"/>
            <w:vAlign w:val="center"/>
          </w:tcPr>
          <w:p w14:paraId="4E486C0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color w:val="000000"/>
                <w:sz w:val="24"/>
                <w:szCs w:val="24"/>
                <w:highlight w:val="none"/>
                <w:lang w:val="en-US" w:eastAsia="zh-CN"/>
              </w:rPr>
              <w:t>神木市公安局交管大队沿黄中队</w:t>
            </w:r>
          </w:p>
        </w:tc>
        <w:tc>
          <w:tcPr>
            <w:tcW w:w="1400" w:type="dxa"/>
            <w:noWrap w:val="0"/>
            <w:vAlign w:val="center"/>
          </w:tcPr>
          <w:p w14:paraId="3852D7F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color w:val="000000"/>
                <w:sz w:val="24"/>
                <w:szCs w:val="24"/>
                <w:highlight w:val="none"/>
                <w:lang w:val="en-US" w:eastAsia="zh-CN"/>
              </w:rPr>
              <w:t>神盘路盘塘收费站东50米</w:t>
            </w:r>
          </w:p>
        </w:tc>
        <w:tc>
          <w:tcPr>
            <w:tcW w:w="1325" w:type="dxa"/>
            <w:noWrap w:val="0"/>
            <w:vAlign w:val="center"/>
          </w:tcPr>
          <w:p w14:paraId="704486A0">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sz w:val="24"/>
                <w:szCs w:val="24"/>
                <w:highlight w:val="none"/>
                <w:vertAlign w:val="baseline"/>
                <w:lang w:val="en-US" w:eastAsia="zh-CN"/>
              </w:rPr>
              <w:t>900㎡</w:t>
            </w:r>
          </w:p>
        </w:tc>
        <w:tc>
          <w:tcPr>
            <w:tcW w:w="4341" w:type="dxa"/>
            <w:noWrap w:val="0"/>
            <w:vAlign w:val="center"/>
          </w:tcPr>
          <w:p w14:paraId="74FD3E77">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1、一栋2层，办公面积700平方米；2、门窗34个，门窗面积小计400㎡；3、院子面积1000㎡；4、公共卫生间：数量3个，面积小计约45㎡；5、会议室：数量1个，面积约25㎡。</w:t>
            </w:r>
          </w:p>
        </w:tc>
      </w:tr>
      <w:tr w14:paraId="47FD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0466D5B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sz w:val="24"/>
                <w:szCs w:val="24"/>
                <w:vertAlign w:val="baseline"/>
                <w:lang w:val="en-US" w:eastAsia="zh-CN"/>
              </w:rPr>
            </w:pPr>
          </w:p>
        </w:tc>
        <w:tc>
          <w:tcPr>
            <w:tcW w:w="1346" w:type="dxa"/>
            <w:noWrap w:val="0"/>
            <w:vAlign w:val="center"/>
          </w:tcPr>
          <w:p w14:paraId="3C1707E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b w:val="0"/>
                <w:bCs w:val="0"/>
                <w:color w:val="000000"/>
                <w:sz w:val="24"/>
                <w:szCs w:val="24"/>
                <w:highlight w:val="none"/>
                <w:lang w:val="en-US" w:eastAsia="zh-CN"/>
              </w:rPr>
            </w:pPr>
          </w:p>
        </w:tc>
        <w:tc>
          <w:tcPr>
            <w:tcW w:w="1400" w:type="dxa"/>
            <w:noWrap w:val="0"/>
            <w:vAlign w:val="center"/>
          </w:tcPr>
          <w:p w14:paraId="3BE801E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color w:val="000000"/>
                <w:sz w:val="24"/>
                <w:szCs w:val="24"/>
                <w:highlight w:val="none"/>
                <w:lang w:val="en-US" w:eastAsia="zh-CN"/>
              </w:rPr>
            </w:pPr>
          </w:p>
        </w:tc>
        <w:tc>
          <w:tcPr>
            <w:tcW w:w="1325" w:type="dxa"/>
            <w:noWrap w:val="0"/>
            <w:vAlign w:val="center"/>
          </w:tcPr>
          <w:p w14:paraId="0BBE3B9D">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hint="eastAsia" w:ascii="仿宋" w:hAnsi="仿宋" w:eastAsia="仿宋" w:cs="仿宋"/>
                <w:sz w:val="24"/>
                <w:szCs w:val="24"/>
                <w:highlight w:val="none"/>
                <w:vertAlign w:val="baseline"/>
                <w:lang w:val="en-US" w:eastAsia="zh-CN"/>
              </w:rPr>
            </w:pPr>
          </w:p>
        </w:tc>
        <w:tc>
          <w:tcPr>
            <w:tcW w:w="4341" w:type="dxa"/>
            <w:noWrap w:val="0"/>
            <w:vAlign w:val="center"/>
          </w:tcPr>
          <w:p w14:paraId="307102BE">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sz w:val="24"/>
                <w:szCs w:val="24"/>
                <w:highlight w:val="none"/>
                <w:lang w:val="en-US" w:eastAsia="zh-CN"/>
              </w:rPr>
            </w:pPr>
          </w:p>
        </w:tc>
      </w:tr>
    </w:tbl>
    <w:p w14:paraId="0F310196">
      <w:pPr>
        <w:pStyle w:val="2"/>
        <w:bidi w:val="0"/>
        <w:jc w:val="both"/>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sz w:val="28"/>
          <w:szCs w:val="28"/>
          <w:highlight w:val="none"/>
          <w:lang w:val="en-US" w:eastAsia="zh-CN"/>
        </w:rPr>
        <w:t>3.物业管理服务内容及标准</w:t>
      </w:r>
    </w:p>
    <w:p w14:paraId="4698B903">
      <w:pPr>
        <w:pageBreakBefore w:val="0"/>
        <w:kinsoku/>
        <w:wordWrap/>
        <w:overflowPunct/>
        <w:topLinePunct w:val="0"/>
        <w:bidi w:val="0"/>
        <w:snapToGrid w:val="0"/>
        <w:spacing w:line="300" w:lineRule="auto"/>
        <w:ind w:firstLine="560" w:firstLineChars="200"/>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物业管理服务包括基本服务、房屋维护服务、公用设施设备维护服务、保洁服务、绿化服务、保安服务、会议服务等。</w:t>
      </w:r>
    </w:p>
    <w:bookmarkEnd w:id="1"/>
    <w:bookmarkEnd w:id="2"/>
    <w:p w14:paraId="0B2A22A1">
      <w:pPr>
        <w:pStyle w:val="3"/>
        <w:jc w:val="both"/>
        <w:rPr>
          <w:rFonts w:hint="eastAsia" w:eastAsia="宋体" w:cs="Times New Roman"/>
          <w:kern w:val="2"/>
          <w:sz w:val="28"/>
          <w:szCs w:val="28"/>
          <w:highlight w:val="none"/>
          <w:u w:val="none"/>
          <w:lang w:val="en-US" w:eastAsia="zh-CN" w:bidi="ar"/>
        </w:rPr>
      </w:pPr>
      <w:bookmarkStart w:id="5" w:name="_Toc10498"/>
      <w:bookmarkStart w:id="6" w:name="_Toc26156"/>
      <w:bookmarkStart w:id="7" w:name="_Toc26485"/>
      <w:r>
        <w:rPr>
          <w:rFonts w:hint="eastAsia"/>
          <w:sz w:val="28"/>
          <w:szCs w:val="28"/>
          <w:highlight w:val="none"/>
          <w:u w:val="none"/>
          <w:lang w:val="en-US" w:eastAsia="zh-CN"/>
        </w:rPr>
        <w:t>3.</w:t>
      </w:r>
      <w:bookmarkEnd w:id="5"/>
      <w:bookmarkEnd w:id="6"/>
      <w:bookmarkEnd w:id="7"/>
      <w:r>
        <w:rPr>
          <w:rFonts w:hint="eastAsia" w:cs="Times New Roman"/>
          <w:kern w:val="2"/>
          <w:sz w:val="28"/>
          <w:szCs w:val="28"/>
          <w:highlight w:val="none"/>
          <w:u w:val="none"/>
          <w:lang w:val="en-US" w:eastAsia="zh-CN" w:bidi="ar"/>
        </w:rPr>
        <w:t>1</w:t>
      </w:r>
      <w:r>
        <w:rPr>
          <w:rFonts w:hint="eastAsia" w:eastAsia="宋体" w:cs="Times New Roman"/>
          <w:kern w:val="2"/>
          <w:sz w:val="28"/>
          <w:szCs w:val="28"/>
          <w:highlight w:val="none"/>
          <w:u w:val="none"/>
          <w:lang w:val="en-US" w:eastAsia="zh-CN" w:bidi="ar"/>
        </w:rPr>
        <w:t>基本服务</w:t>
      </w:r>
    </w:p>
    <w:tbl>
      <w:tblPr>
        <w:tblStyle w:val="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5947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340A1DF1">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3297" w:type="dxa"/>
            <w:noWrap w:val="0"/>
            <w:vAlign w:val="center"/>
          </w:tcPr>
          <w:p w14:paraId="39206A63">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10016" w:type="dxa"/>
            <w:noWrap w:val="0"/>
            <w:vAlign w:val="center"/>
          </w:tcPr>
          <w:p w14:paraId="6588DF95">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6966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1230" w:type="dxa"/>
            <w:noWrap w:val="0"/>
            <w:vAlign w:val="center"/>
          </w:tcPr>
          <w:p w14:paraId="459B3A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3297" w:type="dxa"/>
            <w:noWrap w:val="0"/>
            <w:vAlign w:val="center"/>
          </w:tcPr>
          <w:p w14:paraId="67B14C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目标与责任</w:t>
            </w:r>
          </w:p>
        </w:tc>
        <w:tc>
          <w:tcPr>
            <w:tcW w:w="10016" w:type="dxa"/>
            <w:noWrap w:val="0"/>
            <w:vAlign w:val="center"/>
          </w:tcPr>
          <w:p w14:paraId="695B2D3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（1）结合采购人要求及物业服务实际情况，制定年度管理目标，明确责任分工，并制定配套实施方案。</w:t>
            </w:r>
          </w:p>
        </w:tc>
      </w:tr>
      <w:tr w14:paraId="6E25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B43BC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3297" w:type="dxa"/>
            <w:vMerge w:val="restart"/>
            <w:noWrap w:val="0"/>
            <w:vAlign w:val="center"/>
          </w:tcPr>
          <w:p w14:paraId="488715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服务人员要求</w:t>
            </w:r>
          </w:p>
        </w:tc>
        <w:tc>
          <w:tcPr>
            <w:tcW w:w="10016" w:type="dxa"/>
            <w:noWrap w:val="0"/>
            <w:vAlign w:val="center"/>
          </w:tcPr>
          <w:p w14:paraId="60D12CB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（1）每季度至少开展1次岗位技能、职业素质、服务知识、客户文化、绿色节能环保等教育培训，并进行适当形式的考核。</w:t>
            </w:r>
          </w:p>
        </w:tc>
      </w:tr>
      <w:tr w14:paraId="6407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CB0FFAF">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33F02957">
            <w:pPr>
              <w:bidi w:val="0"/>
              <w:rPr>
                <w:rFonts w:hint="eastAsia" w:ascii="仿宋" w:hAnsi="仿宋" w:eastAsia="仿宋" w:cs="仿宋"/>
                <w:sz w:val="24"/>
                <w:szCs w:val="24"/>
                <w:highlight w:val="none"/>
                <w:lang w:val="en-US" w:eastAsia="zh-CN"/>
              </w:rPr>
            </w:pPr>
          </w:p>
        </w:tc>
        <w:tc>
          <w:tcPr>
            <w:tcW w:w="10016" w:type="dxa"/>
            <w:noWrap w:val="0"/>
            <w:vAlign w:val="center"/>
          </w:tcPr>
          <w:p w14:paraId="2660C3D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（2）根据采购人要求对服务人员进行从业资格审查，审查结果向采购人报备。</w:t>
            </w:r>
          </w:p>
        </w:tc>
      </w:tr>
      <w:tr w14:paraId="51E7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BD8772F">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62CE1AC5">
            <w:pPr>
              <w:bidi w:val="0"/>
              <w:rPr>
                <w:rFonts w:hint="eastAsia" w:ascii="仿宋" w:hAnsi="仿宋" w:eastAsia="仿宋" w:cs="仿宋"/>
                <w:sz w:val="24"/>
                <w:szCs w:val="24"/>
                <w:highlight w:val="none"/>
                <w:lang w:val="en-US" w:eastAsia="zh-CN"/>
              </w:rPr>
            </w:pPr>
          </w:p>
        </w:tc>
        <w:tc>
          <w:tcPr>
            <w:tcW w:w="10016" w:type="dxa"/>
            <w:noWrap w:val="0"/>
            <w:vAlign w:val="center"/>
          </w:tcPr>
          <w:p w14:paraId="0F9955C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w:t>
            </w:r>
            <w:r>
              <w:rPr>
                <w:rFonts w:hint="eastAsia" w:ascii="仿宋" w:hAnsi="仿宋" w:eastAsia="仿宋" w:cs="仿宋"/>
                <w:bCs/>
                <w:color w:val="auto"/>
                <w:sz w:val="24"/>
                <w:szCs w:val="24"/>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59796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6BC61E3">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7FB23924">
            <w:pPr>
              <w:bidi w:val="0"/>
              <w:rPr>
                <w:rFonts w:hint="eastAsia" w:ascii="仿宋" w:hAnsi="仿宋" w:eastAsia="仿宋" w:cs="仿宋"/>
                <w:sz w:val="24"/>
                <w:szCs w:val="24"/>
                <w:highlight w:val="none"/>
                <w:lang w:val="en-US" w:eastAsia="zh-CN"/>
              </w:rPr>
            </w:pPr>
          </w:p>
        </w:tc>
        <w:tc>
          <w:tcPr>
            <w:tcW w:w="10016" w:type="dxa"/>
            <w:noWrap w:val="0"/>
            <w:vAlign w:val="center"/>
          </w:tcPr>
          <w:p w14:paraId="497B222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w:t>
            </w:r>
            <w:r>
              <w:rPr>
                <w:rFonts w:hint="eastAsia" w:ascii="仿宋" w:hAnsi="仿宋" w:eastAsia="仿宋" w:cs="仿宋"/>
                <w:bCs/>
                <w:color w:val="auto"/>
                <w:sz w:val="24"/>
                <w:szCs w:val="24"/>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6C72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30" w:type="dxa"/>
            <w:vMerge w:val="continue"/>
            <w:noWrap w:val="0"/>
            <w:vAlign w:val="center"/>
          </w:tcPr>
          <w:p w14:paraId="756DED8E">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55DEA477">
            <w:pPr>
              <w:bidi w:val="0"/>
              <w:rPr>
                <w:rFonts w:hint="eastAsia" w:ascii="仿宋" w:hAnsi="仿宋" w:eastAsia="仿宋" w:cs="仿宋"/>
                <w:sz w:val="24"/>
                <w:szCs w:val="24"/>
                <w:highlight w:val="none"/>
                <w:lang w:val="en-US" w:eastAsia="zh-CN"/>
              </w:rPr>
            </w:pPr>
          </w:p>
        </w:tc>
        <w:tc>
          <w:tcPr>
            <w:tcW w:w="10016" w:type="dxa"/>
            <w:noWrap w:val="0"/>
            <w:vAlign w:val="center"/>
          </w:tcPr>
          <w:p w14:paraId="040EEFB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（5）着装分类统一，佩戴标识。仪容整洁、姿态端正、举止文明。用语文明礼貌，态度温和耐心。</w:t>
            </w:r>
          </w:p>
        </w:tc>
      </w:tr>
      <w:tr w14:paraId="6611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94063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3297" w:type="dxa"/>
            <w:vMerge w:val="restart"/>
            <w:noWrap w:val="0"/>
            <w:vAlign w:val="center"/>
          </w:tcPr>
          <w:p w14:paraId="771E4D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保密和思想政治教育</w:t>
            </w:r>
          </w:p>
        </w:tc>
        <w:tc>
          <w:tcPr>
            <w:tcW w:w="10016" w:type="dxa"/>
            <w:noWrap w:val="0"/>
            <w:vAlign w:val="center"/>
          </w:tcPr>
          <w:p w14:paraId="404FEE7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（1）建立保密管理制度。制度内容应当包括但不限于：①明确重点要害岗位保密职责。②对涉密工作岗位的保密要求。</w:t>
            </w:r>
          </w:p>
        </w:tc>
      </w:tr>
      <w:tr w14:paraId="72867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D0869E5">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1105CB18">
            <w:pPr>
              <w:bidi w:val="0"/>
              <w:rPr>
                <w:rFonts w:hint="eastAsia" w:ascii="仿宋" w:hAnsi="仿宋" w:eastAsia="仿宋" w:cs="仿宋"/>
                <w:sz w:val="24"/>
                <w:szCs w:val="24"/>
                <w:highlight w:val="none"/>
                <w:lang w:val="en-US" w:eastAsia="zh-CN"/>
              </w:rPr>
            </w:pPr>
          </w:p>
        </w:tc>
        <w:tc>
          <w:tcPr>
            <w:tcW w:w="10016" w:type="dxa"/>
            <w:noWrap w:val="0"/>
            <w:vAlign w:val="center"/>
          </w:tcPr>
          <w:p w14:paraId="7877375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（2）根据采购人要求与涉密工作岗位的服务人员签订保密协议。保密协议应当向采购人报备。</w:t>
            </w:r>
          </w:p>
        </w:tc>
      </w:tr>
      <w:tr w14:paraId="48AD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5049D57">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12EACF56">
            <w:pPr>
              <w:bidi w:val="0"/>
              <w:rPr>
                <w:rFonts w:hint="eastAsia" w:ascii="仿宋" w:hAnsi="仿宋" w:eastAsia="仿宋" w:cs="仿宋"/>
                <w:sz w:val="24"/>
                <w:szCs w:val="24"/>
                <w:highlight w:val="none"/>
                <w:lang w:val="en-US" w:eastAsia="zh-CN"/>
              </w:rPr>
            </w:pPr>
          </w:p>
        </w:tc>
        <w:tc>
          <w:tcPr>
            <w:tcW w:w="10016" w:type="dxa"/>
            <w:noWrap w:val="0"/>
            <w:vAlign w:val="center"/>
          </w:tcPr>
          <w:p w14:paraId="58930F49">
            <w:pPr>
              <w:keepNext w:val="0"/>
              <w:keepLines w:val="0"/>
              <w:pageBreakBefore w:val="0"/>
              <w:widowControl/>
              <w:kinsoku/>
              <w:wordWrap/>
              <w:overflowPunct/>
              <w:topLinePunct w:val="0"/>
              <w:autoSpaceDE/>
              <w:autoSpaceDN/>
              <w:bidi w:val="0"/>
              <w:adjustRightInd/>
              <w:snapToGrid w:val="0"/>
              <w:spacing w:line="300" w:lineRule="auto"/>
              <w:ind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0D74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5E6CA30">
            <w:pPr>
              <w:bidi w:val="0"/>
              <w:jc w:val="center"/>
              <w:rPr>
                <w:rFonts w:hint="eastAsia" w:ascii="仿宋" w:hAnsi="仿宋" w:eastAsia="仿宋" w:cs="仿宋"/>
                <w:sz w:val="24"/>
                <w:szCs w:val="24"/>
                <w:highlight w:val="none"/>
                <w:lang w:val="en-US" w:eastAsia="zh-CN"/>
              </w:rPr>
            </w:pPr>
          </w:p>
        </w:tc>
        <w:tc>
          <w:tcPr>
            <w:tcW w:w="3297" w:type="dxa"/>
            <w:vMerge w:val="continue"/>
            <w:noWrap w:val="0"/>
            <w:vAlign w:val="center"/>
          </w:tcPr>
          <w:p w14:paraId="5473618A">
            <w:pPr>
              <w:bidi w:val="0"/>
              <w:rPr>
                <w:rFonts w:hint="eastAsia" w:ascii="仿宋" w:hAnsi="仿宋" w:eastAsia="仿宋" w:cs="仿宋"/>
                <w:sz w:val="24"/>
                <w:szCs w:val="24"/>
                <w:highlight w:val="none"/>
                <w:lang w:val="en-US" w:eastAsia="zh-CN"/>
              </w:rPr>
            </w:pPr>
          </w:p>
        </w:tc>
        <w:tc>
          <w:tcPr>
            <w:tcW w:w="10016" w:type="dxa"/>
            <w:noWrap w:val="0"/>
            <w:vAlign w:val="center"/>
          </w:tcPr>
          <w:p w14:paraId="6D7427E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（4）发现服务人员违法违规或重大过失，及时报告采购人，并采取必要补救措施。</w:t>
            </w:r>
          </w:p>
        </w:tc>
      </w:tr>
      <w:tr w14:paraId="1F57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5A555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3297" w:type="dxa"/>
            <w:vMerge w:val="restart"/>
            <w:noWrap w:val="0"/>
            <w:vAlign w:val="center"/>
          </w:tcPr>
          <w:p w14:paraId="3B8583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档案管理</w:t>
            </w:r>
          </w:p>
        </w:tc>
        <w:tc>
          <w:tcPr>
            <w:tcW w:w="10016" w:type="dxa"/>
            <w:noWrap w:val="0"/>
            <w:vAlign w:val="center"/>
          </w:tcPr>
          <w:p w14:paraId="42DF617C">
            <w:pPr>
              <w:keepNext w:val="0"/>
              <w:keepLines w:val="0"/>
              <w:pageBreakBefore w:val="0"/>
              <w:widowControl/>
              <w:kinsoku/>
              <w:wordWrap/>
              <w:overflowPunct/>
              <w:topLinePunct w:val="0"/>
              <w:autoSpaceDE/>
              <w:autoSpaceDN/>
              <w:bidi w:val="0"/>
              <w:adjustRightInd/>
              <w:snapToGrid w:val="0"/>
              <w:spacing w:line="300" w:lineRule="auto"/>
              <w:ind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（1）建立物业信息，准确、及时地对文件资料和服务记录进行归档保存，并确保其物理安全。</w:t>
            </w:r>
          </w:p>
        </w:tc>
      </w:tr>
      <w:tr w14:paraId="567E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F34491D">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3D13D9BC">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60C6924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仿宋" w:hAnsi="仿宋" w:eastAsia="仿宋" w:cs="仿宋"/>
                <w:color w:val="auto"/>
                <w:kern w:val="0"/>
                <w:sz w:val="24"/>
                <w:szCs w:val="24"/>
                <w:highlight w:val="none"/>
              </w:rPr>
              <w:t>设施设备安全运行、设施设备定期巡检、维护保养、维修档案</w:t>
            </w:r>
            <w:r>
              <w:rPr>
                <w:rFonts w:hint="eastAsia" w:ascii="仿宋" w:hAnsi="仿宋" w:eastAsia="仿宋" w:cs="仿宋"/>
                <w:b w:val="0"/>
                <w:bCs w:val="0"/>
                <w:color w:val="auto"/>
                <w:kern w:val="0"/>
                <w:sz w:val="24"/>
                <w:szCs w:val="24"/>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5BD8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69497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417029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3EB030D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（3）遵守采购人的信息、档案资料保密要求，未经许可，不得将建筑物平面图等资料转作其他用途或向其他单位、个人提供。</w:t>
            </w:r>
          </w:p>
        </w:tc>
      </w:tr>
      <w:tr w14:paraId="119A4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7627D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630033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5B8CFED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（4）履约结束后，相关资料交还采购人，采购人按政府采购相关规定存档。</w:t>
            </w:r>
          </w:p>
        </w:tc>
      </w:tr>
      <w:tr w14:paraId="57EF3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1DE29D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3297" w:type="dxa"/>
            <w:vMerge w:val="restart"/>
            <w:noWrap w:val="0"/>
            <w:vAlign w:val="center"/>
          </w:tcPr>
          <w:p w14:paraId="3E4B46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分包供应商管理</w:t>
            </w:r>
          </w:p>
        </w:tc>
        <w:tc>
          <w:tcPr>
            <w:tcW w:w="10016" w:type="dxa"/>
            <w:noWrap w:val="0"/>
            <w:vAlign w:val="center"/>
          </w:tcPr>
          <w:p w14:paraId="5ADDE26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（1）合理控制外包服务人员数量和流动率。</w:t>
            </w:r>
          </w:p>
        </w:tc>
      </w:tr>
      <w:tr w14:paraId="3EF8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69317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287818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2006844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（2）根据采购人要求明确对分包供应商的要求，确定工作流程。</w:t>
            </w:r>
          </w:p>
        </w:tc>
      </w:tr>
      <w:tr w14:paraId="3F52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66749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760783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325929F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（3）明确安全管理责任和保密责任，签订安全管理责任书和保密责任书。</w:t>
            </w:r>
          </w:p>
        </w:tc>
      </w:tr>
      <w:tr w14:paraId="2403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6C6BD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3C0727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037C740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（4）开展服务检查和监管，评估服务效果，必要时进行服务流程调整。</w:t>
            </w:r>
          </w:p>
        </w:tc>
      </w:tr>
      <w:tr w14:paraId="1E24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C4F64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6B82EE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234E9BA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（5）根据工作反馈意见与建议，持续提升服务品质。</w:t>
            </w:r>
          </w:p>
        </w:tc>
      </w:tr>
      <w:tr w14:paraId="74ADD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C219C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p w14:paraId="182CBB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restart"/>
            <w:noWrap w:val="0"/>
            <w:vAlign w:val="center"/>
          </w:tcPr>
          <w:p w14:paraId="32C8B8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服务改进</w:t>
            </w:r>
          </w:p>
          <w:p w14:paraId="11692E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4B5C6BA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（1）明确负责人，定期对物业服务过程进行自查，结合反馈意见与评价结果采取改进措施，持续提升管理与服务水平。</w:t>
            </w:r>
          </w:p>
        </w:tc>
      </w:tr>
      <w:tr w14:paraId="7FBB0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1A59D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529C57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71E2B9A8">
            <w:pPr>
              <w:keepNext w:val="0"/>
              <w:keepLines w:val="0"/>
              <w:pageBreakBefore w:val="0"/>
              <w:widowControl/>
              <w:kinsoku/>
              <w:wordWrap/>
              <w:overflowPunct/>
              <w:topLinePunct w:val="0"/>
              <w:autoSpaceDE/>
              <w:autoSpaceDN/>
              <w:bidi w:val="0"/>
              <w:adjustRightInd/>
              <w:snapToGrid w:val="0"/>
              <w:spacing w:line="300" w:lineRule="auto"/>
              <w:ind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（2）对不合格服务进行控制，对不合格服务的原因进行识别和分析，及时采取纠正措施，消除不合格的原因，防止不合格再发生。</w:t>
            </w:r>
          </w:p>
        </w:tc>
      </w:tr>
      <w:tr w14:paraId="51309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77457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2DD742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16" w:type="dxa"/>
            <w:noWrap w:val="0"/>
            <w:vAlign w:val="center"/>
          </w:tcPr>
          <w:p w14:paraId="0AB0404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（3）需整改问题及时整改完成。</w:t>
            </w:r>
          </w:p>
        </w:tc>
      </w:tr>
      <w:tr w14:paraId="65A7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41B54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3297" w:type="dxa"/>
            <w:vMerge w:val="restart"/>
            <w:noWrap w:val="0"/>
            <w:vAlign w:val="center"/>
          </w:tcPr>
          <w:p w14:paraId="4B7782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重大活动后勤保障</w:t>
            </w:r>
          </w:p>
        </w:tc>
        <w:tc>
          <w:tcPr>
            <w:tcW w:w="10016" w:type="dxa"/>
            <w:noWrap w:val="0"/>
            <w:vAlign w:val="center"/>
          </w:tcPr>
          <w:p w14:paraId="46810F6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（1）制订流程。配合采购人制订重大活动后勤保障工作流程，需对任务进行详细了解，并根据工作安排制定详细的后勤保障计划。</w:t>
            </w:r>
          </w:p>
        </w:tc>
      </w:tr>
      <w:tr w14:paraId="4334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8F796B7">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3D6808BF">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71CD0CC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02F8D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B11B61E">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6D161B56">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06255E8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（3）收尾工作。对现场进行检查，做好清理工作。</w:t>
            </w:r>
          </w:p>
        </w:tc>
      </w:tr>
      <w:tr w14:paraId="27C9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81388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w:t>
            </w:r>
          </w:p>
        </w:tc>
        <w:tc>
          <w:tcPr>
            <w:tcW w:w="3297" w:type="dxa"/>
            <w:vMerge w:val="restart"/>
            <w:noWrap w:val="0"/>
            <w:vAlign w:val="center"/>
          </w:tcPr>
          <w:p w14:paraId="573B7B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auto"/>
                <w:kern w:val="0"/>
                <w:sz w:val="24"/>
                <w:szCs w:val="24"/>
                <w:highlight w:val="none"/>
                <w:lang w:val="en-US" w:eastAsia="zh-CN"/>
              </w:rPr>
              <w:t>应急保障预案</w:t>
            </w:r>
          </w:p>
        </w:tc>
        <w:tc>
          <w:tcPr>
            <w:tcW w:w="10016" w:type="dxa"/>
            <w:noWrap w:val="0"/>
            <w:vAlign w:val="center"/>
          </w:tcPr>
          <w:p w14:paraId="40BF8367">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color w:val="auto"/>
                <w:sz w:val="24"/>
                <w:szCs w:val="24"/>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65CB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046EA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p>
        </w:tc>
        <w:tc>
          <w:tcPr>
            <w:tcW w:w="3297" w:type="dxa"/>
            <w:vMerge w:val="continue"/>
            <w:noWrap w:val="0"/>
            <w:vAlign w:val="center"/>
          </w:tcPr>
          <w:p w14:paraId="5481BA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0"/>
                <w:sz w:val="24"/>
                <w:szCs w:val="24"/>
                <w:highlight w:val="none"/>
                <w:lang w:val="en-US" w:eastAsia="zh-CN"/>
              </w:rPr>
            </w:pPr>
          </w:p>
        </w:tc>
        <w:tc>
          <w:tcPr>
            <w:tcW w:w="10016" w:type="dxa"/>
            <w:noWrap w:val="0"/>
            <w:vAlign w:val="center"/>
          </w:tcPr>
          <w:p w14:paraId="282B4F19">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color w:val="auto"/>
                <w:sz w:val="24"/>
                <w:szCs w:val="24"/>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68FD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DF7E8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p>
        </w:tc>
        <w:tc>
          <w:tcPr>
            <w:tcW w:w="3297" w:type="dxa"/>
            <w:vMerge w:val="continue"/>
            <w:noWrap w:val="0"/>
            <w:vAlign w:val="center"/>
          </w:tcPr>
          <w:p w14:paraId="485FED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0"/>
                <w:sz w:val="24"/>
                <w:szCs w:val="24"/>
                <w:highlight w:val="none"/>
                <w:lang w:val="en-US" w:eastAsia="zh-CN"/>
              </w:rPr>
            </w:pPr>
          </w:p>
        </w:tc>
        <w:tc>
          <w:tcPr>
            <w:tcW w:w="10016" w:type="dxa"/>
            <w:noWrap w:val="0"/>
            <w:vAlign w:val="center"/>
          </w:tcPr>
          <w:p w14:paraId="67ABA61A">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（3）</w:t>
            </w:r>
            <w:r>
              <w:rPr>
                <w:rFonts w:hint="eastAsia" w:ascii="仿宋" w:hAnsi="仿宋" w:eastAsia="仿宋" w:cs="仿宋"/>
                <w:color w:val="auto"/>
                <w:sz w:val="24"/>
                <w:szCs w:val="24"/>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1565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BE17C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p>
        </w:tc>
        <w:tc>
          <w:tcPr>
            <w:tcW w:w="3297" w:type="dxa"/>
            <w:vMerge w:val="continue"/>
            <w:noWrap w:val="0"/>
            <w:vAlign w:val="center"/>
          </w:tcPr>
          <w:p w14:paraId="0F45D2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000159C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w:t>
            </w:r>
            <w:r>
              <w:rPr>
                <w:rFonts w:hint="eastAsia" w:ascii="仿宋" w:hAnsi="仿宋" w:eastAsia="仿宋" w:cs="仿宋"/>
                <w:color w:val="auto"/>
                <w:sz w:val="24"/>
                <w:szCs w:val="24"/>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7217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696140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3297" w:type="dxa"/>
            <w:vMerge w:val="restart"/>
            <w:noWrap w:val="0"/>
            <w:vAlign w:val="center"/>
          </w:tcPr>
          <w:p w14:paraId="12D766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服务方案及工作制度</w:t>
            </w:r>
          </w:p>
        </w:tc>
        <w:tc>
          <w:tcPr>
            <w:tcW w:w="10016" w:type="dxa"/>
            <w:noWrap w:val="0"/>
            <w:vAlign w:val="center"/>
          </w:tcPr>
          <w:p w14:paraId="2F2DCBD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（1）制定工作制度，</w:t>
            </w:r>
            <w:r>
              <w:rPr>
                <w:rFonts w:hint="eastAsia" w:ascii="仿宋" w:hAnsi="仿宋" w:eastAsia="仿宋" w:cs="仿宋"/>
                <w:bCs/>
                <w:color w:val="auto"/>
                <w:sz w:val="24"/>
                <w:szCs w:val="24"/>
                <w:highlight w:val="none"/>
                <w:lang w:eastAsia="zh-CN"/>
              </w:rPr>
              <w:t>主要</w:t>
            </w:r>
            <w:r>
              <w:rPr>
                <w:rFonts w:hint="eastAsia" w:ascii="仿宋" w:hAnsi="仿宋" w:eastAsia="仿宋" w:cs="仿宋"/>
                <w:bCs/>
                <w:color w:val="auto"/>
                <w:sz w:val="24"/>
                <w:szCs w:val="24"/>
                <w:highlight w:val="none"/>
              </w:rPr>
              <w:t>包括：</w:t>
            </w:r>
            <w:r>
              <w:rPr>
                <w:rFonts w:hint="eastAsia" w:ascii="仿宋" w:hAnsi="仿宋" w:eastAsia="仿宋" w:cs="仿宋"/>
                <w:bCs/>
                <w:color w:val="auto"/>
                <w:sz w:val="24"/>
                <w:szCs w:val="24"/>
                <w:highlight w:val="none"/>
                <w:lang w:val="en-US" w:eastAsia="zh-CN"/>
              </w:rPr>
              <w:t>人员录用制度、</w:t>
            </w:r>
            <w:r>
              <w:rPr>
                <w:rFonts w:hint="eastAsia" w:ascii="仿宋" w:hAnsi="仿宋" w:eastAsia="仿宋" w:cs="仿宋"/>
                <w:b w:val="0"/>
                <w:bCs w:val="0"/>
                <w:color w:val="auto"/>
                <w:kern w:val="0"/>
                <w:sz w:val="24"/>
                <w:szCs w:val="24"/>
                <w:highlight w:val="none"/>
                <w:lang w:val="en-US" w:eastAsia="zh-CN"/>
              </w:rPr>
              <w:t>档案管理制度、</w:t>
            </w:r>
            <w:r>
              <w:rPr>
                <w:rFonts w:hint="eastAsia" w:ascii="仿宋" w:hAnsi="仿宋" w:eastAsia="仿宋" w:cs="仿宋"/>
                <w:bCs/>
                <w:color w:val="auto"/>
                <w:sz w:val="24"/>
                <w:szCs w:val="24"/>
                <w:highlight w:val="none"/>
              </w:rPr>
              <w:t>物业服务管理制度</w:t>
            </w:r>
            <w:r>
              <w:rPr>
                <w:rFonts w:hint="eastAsia" w:ascii="仿宋" w:hAnsi="仿宋" w:eastAsia="仿宋" w:cs="仿宋"/>
                <w:bCs/>
                <w:color w:val="auto"/>
                <w:sz w:val="24"/>
                <w:szCs w:val="24"/>
                <w:highlight w:val="none"/>
                <w:lang w:eastAsia="zh-CN"/>
              </w:rPr>
              <w:t>、</w:t>
            </w:r>
            <w:r>
              <w:rPr>
                <w:rFonts w:hint="eastAsia" w:ascii="仿宋" w:hAnsi="仿宋" w:eastAsia="仿宋" w:cs="仿宋"/>
                <w:b w:val="0"/>
                <w:bCs w:val="0"/>
                <w:color w:val="auto"/>
                <w:kern w:val="0"/>
                <w:sz w:val="24"/>
                <w:szCs w:val="24"/>
                <w:highlight w:val="none"/>
                <w:lang w:val="en-US" w:eastAsia="zh-CN"/>
              </w:rPr>
              <w:t>公用设施设备相关管理制度等</w:t>
            </w:r>
            <w:r>
              <w:rPr>
                <w:rFonts w:hint="eastAsia" w:ascii="仿宋" w:hAnsi="仿宋" w:eastAsia="仿宋" w:cs="仿宋"/>
                <w:bCs/>
                <w:color w:val="auto"/>
                <w:sz w:val="24"/>
                <w:szCs w:val="24"/>
                <w:highlight w:val="none"/>
                <w:lang w:eastAsia="zh-CN"/>
              </w:rPr>
              <w:t>。</w:t>
            </w:r>
          </w:p>
        </w:tc>
      </w:tr>
      <w:tr w14:paraId="4991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1E8D1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299AFA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01BC4C0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（2）制定</w:t>
            </w:r>
            <w:r>
              <w:rPr>
                <w:rFonts w:hint="eastAsia" w:ascii="仿宋" w:hAnsi="仿宋" w:eastAsia="仿宋" w:cs="仿宋"/>
                <w:bCs/>
                <w:color w:val="auto"/>
                <w:sz w:val="24"/>
                <w:szCs w:val="24"/>
                <w:highlight w:val="none"/>
              </w:rPr>
              <w:t>项目实施方案</w:t>
            </w:r>
            <w:r>
              <w:rPr>
                <w:rFonts w:hint="eastAsia" w:ascii="仿宋" w:hAnsi="仿宋" w:eastAsia="仿宋" w:cs="仿宋"/>
                <w:bCs/>
                <w:color w:val="auto"/>
                <w:sz w:val="24"/>
                <w:szCs w:val="24"/>
                <w:highlight w:val="none"/>
                <w:lang w:eastAsia="zh-CN"/>
              </w:rPr>
              <w:t>，主要</w:t>
            </w:r>
            <w:r>
              <w:rPr>
                <w:rFonts w:hint="eastAsia" w:ascii="仿宋" w:hAnsi="仿宋" w:eastAsia="仿宋" w:cs="仿宋"/>
                <w:bCs/>
                <w:color w:val="auto"/>
                <w:sz w:val="24"/>
                <w:szCs w:val="24"/>
                <w:highlight w:val="none"/>
              </w:rPr>
              <w:t>包括：</w:t>
            </w:r>
            <w:r>
              <w:rPr>
                <w:rFonts w:hint="eastAsia" w:ascii="仿宋" w:hAnsi="仿宋" w:eastAsia="仿宋" w:cs="仿宋"/>
                <w:bCs/>
                <w:color w:val="auto"/>
                <w:sz w:val="24"/>
                <w:szCs w:val="24"/>
                <w:highlight w:val="none"/>
                <w:lang w:val="en-US" w:eastAsia="zh-CN"/>
              </w:rPr>
              <w:t>交接</w:t>
            </w:r>
            <w:r>
              <w:rPr>
                <w:rFonts w:hint="eastAsia" w:ascii="仿宋" w:hAnsi="仿宋" w:eastAsia="仿宋" w:cs="仿宋"/>
                <w:bCs/>
                <w:color w:val="auto"/>
                <w:sz w:val="24"/>
                <w:szCs w:val="24"/>
                <w:highlight w:val="none"/>
              </w:rPr>
              <w:t>方案、人员培训方案、人员稳定性方案、保密方案</w:t>
            </w:r>
            <w:r>
              <w:rPr>
                <w:rFonts w:hint="eastAsia" w:ascii="仿宋" w:hAnsi="仿宋" w:eastAsia="仿宋" w:cs="仿宋"/>
                <w:bCs/>
                <w:color w:val="auto"/>
                <w:sz w:val="24"/>
                <w:szCs w:val="24"/>
                <w:highlight w:val="none"/>
                <w:lang w:eastAsia="zh-CN"/>
              </w:rPr>
              <w:t>等</w:t>
            </w:r>
            <w:r>
              <w:rPr>
                <w:rFonts w:hint="eastAsia" w:ascii="仿宋" w:hAnsi="仿宋" w:eastAsia="仿宋" w:cs="仿宋"/>
                <w:bCs/>
                <w:color w:val="auto"/>
                <w:sz w:val="24"/>
                <w:szCs w:val="24"/>
                <w:highlight w:val="none"/>
              </w:rPr>
              <w:t>。</w:t>
            </w:r>
          </w:p>
        </w:tc>
      </w:tr>
      <w:tr w14:paraId="1B6C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EA1EE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2EB2EA6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3E8F788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（3）制定</w:t>
            </w:r>
            <w:r>
              <w:rPr>
                <w:rFonts w:hint="eastAsia" w:ascii="仿宋" w:hAnsi="仿宋" w:eastAsia="仿宋" w:cs="仿宋"/>
                <w:bCs/>
                <w:color w:val="auto"/>
                <w:sz w:val="24"/>
                <w:szCs w:val="24"/>
                <w:highlight w:val="none"/>
              </w:rPr>
              <w:t>物业服务方案</w:t>
            </w:r>
            <w:r>
              <w:rPr>
                <w:rFonts w:hint="eastAsia" w:ascii="仿宋" w:hAnsi="仿宋" w:eastAsia="仿宋" w:cs="仿宋"/>
                <w:bCs/>
                <w:color w:val="auto"/>
                <w:sz w:val="24"/>
                <w:szCs w:val="24"/>
                <w:highlight w:val="none"/>
                <w:lang w:eastAsia="zh-CN"/>
              </w:rPr>
              <w:t>，主要</w:t>
            </w:r>
            <w:r>
              <w:rPr>
                <w:rFonts w:hint="eastAsia" w:ascii="仿宋" w:hAnsi="仿宋" w:eastAsia="仿宋" w:cs="仿宋"/>
                <w:bCs/>
                <w:color w:val="auto"/>
                <w:sz w:val="24"/>
                <w:szCs w:val="24"/>
                <w:highlight w:val="none"/>
              </w:rPr>
              <w:t>包括：</w:t>
            </w:r>
            <w:r>
              <w:rPr>
                <w:rFonts w:hint="eastAsia" w:ascii="仿宋" w:hAnsi="仿宋" w:eastAsia="仿宋" w:cs="仿宋"/>
                <w:bCs/>
                <w:color w:val="auto"/>
                <w:sz w:val="24"/>
                <w:szCs w:val="24"/>
                <w:highlight w:val="none"/>
                <w:lang w:val="en-US" w:eastAsia="zh-CN"/>
              </w:rPr>
              <w:t>房屋维护服务方案、公用设施设备维护服务方案、</w:t>
            </w:r>
            <w:r>
              <w:rPr>
                <w:rFonts w:hint="eastAsia" w:ascii="仿宋" w:hAnsi="仿宋" w:eastAsia="仿宋" w:cs="仿宋"/>
                <w:bCs/>
                <w:color w:val="auto"/>
                <w:sz w:val="24"/>
                <w:szCs w:val="24"/>
                <w:highlight w:val="none"/>
              </w:rPr>
              <w:t>绿化</w:t>
            </w:r>
            <w:r>
              <w:rPr>
                <w:rFonts w:hint="eastAsia" w:ascii="仿宋" w:hAnsi="仿宋" w:eastAsia="仿宋" w:cs="仿宋"/>
                <w:bCs/>
                <w:color w:val="auto"/>
                <w:sz w:val="24"/>
                <w:szCs w:val="24"/>
                <w:highlight w:val="none"/>
                <w:lang w:val="en-US" w:eastAsia="zh-CN"/>
              </w:rPr>
              <w:t>服务</w:t>
            </w:r>
            <w:r>
              <w:rPr>
                <w:rFonts w:hint="eastAsia" w:ascii="仿宋" w:hAnsi="仿宋" w:eastAsia="仿宋" w:cs="仿宋"/>
                <w:bCs/>
                <w:color w:val="auto"/>
                <w:sz w:val="24"/>
                <w:szCs w:val="24"/>
                <w:highlight w:val="none"/>
              </w:rPr>
              <w:t>方案</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保洁服务方案、</w:t>
            </w:r>
            <w:r>
              <w:rPr>
                <w:rFonts w:hint="eastAsia" w:ascii="仿宋" w:hAnsi="仿宋" w:eastAsia="仿宋" w:cs="仿宋"/>
                <w:bCs/>
                <w:color w:val="auto"/>
                <w:sz w:val="24"/>
                <w:szCs w:val="24"/>
                <w:highlight w:val="none"/>
                <w:lang w:val="en-US" w:eastAsia="zh-CN"/>
              </w:rPr>
              <w:t>保安</w:t>
            </w:r>
            <w:r>
              <w:rPr>
                <w:rFonts w:hint="eastAsia" w:ascii="仿宋" w:hAnsi="仿宋" w:eastAsia="仿宋" w:cs="仿宋"/>
                <w:bCs/>
                <w:color w:val="auto"/>
                <w:sz w:val="24"/>
                <w:szCs w:val="24"/>
                <w:highlight w:val="none"/>
              </w:rPr>
              <w:t>服务方案、会议服务方案</w:t>
            </w:r>
            <w:r>
              <w:rPr>
                <w:rFonts w:hint="eastAsia" w:ascii="仿宋" w:hAnsi="仿宋" w:eastAsia="仿宋" w:cs="仿宋"/>
                <w:bCs/>
                <w:color w:val="auto"/>
                <w:sz w:val="24"/>
                <w:szCs w:val="24"/>
                <w:highlight w:val="none"/>
                <w:lang w:val="en-US" w:eastAsia="zh-CN"/>
              </w:rPr>
              <w:t>等</w:t>
            </w:r>
            <w:r>
              <w:rPr>
                <w:rFonts w:hint="eastAsia" w:ascii="仿宋" w:hAnsi="仿宋" w:eastAsia="仿宋" w:cs="仿宋"/>
                <w:bCs/>
                <w:color w:val="auto"/>
                <w:sz w:val="24"/>
                <w:szCs w:val="24"/>
                <w:highlight w:val="none"/>
              </w:rPr>
              <w:t>。</w:t>
            </w:r>
          </w:p>
        </w:tc>
      </w:tr>
      <w:tr w14:paraId="58D29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120C83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3297" w:type="dxa"/>
            <w:vMerge w:val="restart"/>
            <w:noWrap w:val="0"/>
            <w:vAlign w:val="center"/>
          </w:tcPr>
          <w:p w14:paraId="5921E1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信报服务</w:t>
            </w:r>
          </w:p>
        </w:tc>
        <w:tc>
          <w:tcPr>
            <w:tcW w:w="10016" w:type="dxa"/>
            <w:noWrap w:val="0"/>
            <w:vAlign w:val="center"/>
          </w:tcPr>
          <w:p w14:paraId="00AA4A9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（1）对邮件、包裹和挂号信等进行正确分理、安全检查和防疫卫生检查。</w:t>
            </w:r>
          </w:p>
        </w:tc>
      </w:tr>
      <w:tr w14:paraId="1FB12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847ED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35CD7D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0903AEF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（2）及时投送或通知收件人领取。</w:t>
            </w:r>
          </w:p>
        </w:tc>
      </w:tr>
      <w:tr w14:paraId="2DE8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E941B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067567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503C803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（3）</w:t>
            </w:r>
            <w:r>
              <w:rPr>
                <w:rFonts w:hint="eastAsia" w:ascii="仿宋" w:hAnsi="仿宋" w:eastAsia="仿宋" w:cs="仿宋"/>
                <w:color w:val="auto"/>
                <w:sz w:val="24"/>
                <w:szCs w:val="24"/>
                <w:highlight w:val="none"/>
                <w:u w:val="none"/>
              </w:rPr>
              <w:t>大件物品出入</w:t>
            </w:r>
            <w:r>
              <w:rPr>
                <w:rFonts w:hint="eastAsia" w:ascii="仿宋" w:hAnsi="仿宋" w:eastAsia="仿宋" w:cs="仿宋"/>
                <w:color w:val="auto"/>
                <w:sz w:val="24"/>
                <w:szCs w:val="24"/>
                <w:highlight w:val="none"/>
                <w:u w:val="none"/>
                <w:lang w:val="en-US" w:eastAsia="zh-CN"/>
              </w:rPr>
              <w:t>向采购人报告，待采购人确认无误后放行</w:t>
            </w:r>
            <w:r>
              <w:rPr>
                <w:rFonts w:hint="eastAsia" w:ascii="仿宋" w:hAnsi="仿宋" w:eastAsia="仿宋" w:cs="仿宋"/>
                <w:color w:val="auto"/>
                <w:sz w:val="24"/>
                <w:szCs w:val="24"/>
                <w:highlight w:val="none"/>
                <w:u w:val="none"/>
                <w:lang w:eastAsia="zh-CN"/>
              </w:rPr>
              <w:t>。</w:t>
            </w:r>
          </w:p>
        </w:tc>
      </w:tr>
      <w:tr w14:paraId="3D56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001D5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3297" w:type="dxa"/>
            <w:vMerge w:val="restart"/>
            <w:noWrap w:val="0"/>
            <w:vAlign w:val="center"/>
          </w:tcPr>
          <w:p w14:paraId="7F35A3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服务热线及紧急维修</w:t>
            </w:r>
          </w:p>
        </w:tc>
        <w:tc>
          <w:tcPr>
            <w:tcW w:w="10016" w:type="dxa"/>
            <w:noWrap w:val="0"/>
            <w:vAlign w:val="center"/>
          </w:tcPr>
          <w:p w14:paraId="5A97FFCB">
            <w:pPr>
              <w:keepNext w:val="0"/>
              <w:keepLines w:val="0"/>
              <w:pageBreakBefore w:val="0"/>
              <w:widowControl/>
              <w:kinsoku/>
              <w:wordWrap/>
              <w:overflowPunct/>
              <w:topLinePunct w:val="0"/>
              <w:autoSpaceDE/>
              <w:autoSpaceDN/>
              <w:bidi w:val="0"/>
              <w:adjustRightInd/>
              <w:snapToGrid w:val="0"/>
              <w:spacing w:line="300" w:lineRule="auto"/>
              <w:ind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（1）设置24小时报修服务热线。</w:t>
            </w:r>
          </w:p>
        </w:tc>
      </w:tr>
      <w:tr w14:paraId="1191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E820F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297" w:type="dxa"/>
            <w:vMerge w:val="continue"/>
            <w:noWrap w:val="0"/>
            <w:vAlign w:val="center"/>
          </w:tcPr>
          <w:p w14:paraId="47BBE2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4"/>
                <w:szCs w:val="24"/>
                <w:highlight w:val="none"/>
                <w:lang w:val="en-US" w:eastAsia="zh-CN"/>
              </w:rPr>
            </w:pPr>
          </w:p>
        </w:tc>
        <w:tc>
          <w:tcPr>
            <w:tcW w:w="10016" w:type="dxa"/>
            <w:noWrap w:val="0"/>
            <w:vAlign w:val="center"/>
          </w:tcPr>
          <w:p w14:paraId="4F1B225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color w:val="auto"/>
                <w:sz w:val="24"/>
                <w:szCs w:val="24"/>
                <w:highlight w:val="none"/>
                <w:u w:val="none"/>
                <w:lang w:val="en-US" w:eastAsia="zh-CN"/>
              </w:rPr>
              <w:t>紧急维修应当30分钟内到达现场，不间断维修直至修复。</w:t>
            </w:r>
          </w:p>
        </w:tc>
      </w:tr>
    </w:tbl>
    <w:p w14:paraId="04464CDE">
      <w:pPr>
        <w:pStyle w:val="3"/>
        <w:bidi w:val="0"/>
        <w:jc w:val="both"/>
        <w:rPr>
          <w:rFonts w:hint="default"/>
          <w:sz w:val="28"/>
          <w:szCs w:val="28"/>
          <w:highlight w:val="none"/>
          <w:lang w:val="en-US" w:eastAsia="zh-CN"/>
        </w:rPr>
      </w:pPr>
      <w:r>
        <w:rPr>
          <w:rFonts w:hint="eastAsia"/>
          <w:sz w:val="28"/>
          <w:szCs w:val="28"/>
          <w:highlight w:val="none"/>
          <w:lang w:val="en-US" w:eastAsia="zh-CN"/>
        </w:rPr>
        <w:t>3.2</w:t>
      </w:r>
      <w:r>
        <w:rPr>
          <w:rFonts w:hint="default"/>
          <w:sz w:val="28"/>
          <w:szCs w:val="28"/>
          <w:highlight w:val="none"/>
          <w:lang w:val="en-US" w:eastAsia="zh-CN"/>
        </w:rPr>
        <w:t>房屋维护服务</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4E53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noWrap w:val="0"/>
            <w:vAlign w:val="center"/>
          </w:tcPr>
          <w:p w14:paraId="37F17435">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3319" w:type="dxa"/>
            <w:noWrap w:val="0"/>
            <w:vAlign w:val="center"/>
          </w:tcPr>
          <w:p w14:paraId="33714658">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10000" w:type="dxa"/>
            <w:noWrap w:val="0"/>
            <w:vAlign w:val="center"/>
          </w:tcPr>
          <w:p w14:paraId="2267488A">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379C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0BA729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3319" w:type="dxa"/>
            <w:vMerge w:val="restart"/>
            <w:noWrap w:val="0"/>
            <w:vAlign w:val="center"/>
          </w:tcPr>
          <w:p w14:paraId="405BA2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val="0"/>
                <w:bCs w:val="0"/>
                <w:color w:val="auto"/>
                <w:sz w:val="24"/>
                <w:szCs w:val="24"/>
              </w:rPr>
              <w:t>主体结构、围护结构、部品部件</w:t>
            </w:r>
          </w:p>
        </w:tc>
        <w:tc>
          <w:tcPr>
            <w:tcW w:w="10000" w:type="dxa"/>
            <w:noWrap w:val="0"/>
            <w:vAlign w:val="center"/>
          </w:tcPr>
          <w:p w14:paraId="0ACE276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（1）每季度至少开展1次房屋结构安全巡视，发现外观有变形、开裂等现象，及时建议采购人申请房屋安全鉴定，并采取必要的避险和防护措施。</w:t>
            </w:r>
          </w:p>
        </w:tc>
      </w:tr>
      <w:tr w14:paraId="0B0A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4D3A29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70F38F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00" w:type="dxa"/>
            <w:noWrap w:val="0"/>
            <w:vAlign w:val="center"/>
          </w:tcPr>
          <w:p w14:paraId="12C859E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0F4B6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5FF393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6E70C9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10000" w:type="dxa"/>
            <w:noWrap w:val="0"/>
            <w:vAlign w:val="center"/>
          </w:tcPr>
          <w:p w14:paraId="79289E7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6FB63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FD0FC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162F2C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10000" w:type="dxa"/>
            <w:noWrap w:val="0"/>
            <w:vAlign w:val="center"/>
          </w:tcPr>
          <w:p w14:paraId="3AD70F8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1D878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59197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385BAC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10000" w:type="dxa"/>
            <w:noWrap w:val="0"/>
            <w:vAlign w:val="center"/>
          </w:tcPr>
          <w:p w14:paraId="553DA9B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（5）</w:t>
            </w:r>
            <w:r>
              <w:rPr>
                <w:rFonts w:hint="eastAsia" w:ascii="仿宋" w:hAnsi="仿宋" w:eastAsia="仿宋" w:cs="仿宋"/>
                <w:color w:val="auto"/>
                <w:sz w:val="24"/>
                <w:szCs w:val="24"/>
                <w:highlight w:val="none"/>
                <w:u w:val="none"/>
                <w:lang w:val="en-US" w:eastAsia="zh-CN"/>
              </w:rPr>
              <w:t>办公楼外观完好，建筑装饰面无脱落、无破损、无污渍，玻璃幕墙清洁明亮、无破损。</w:t>
            </w:r>
          </w:p>
        </w:tc>
      </w:tr>
      <w:tr w14:paraId="1C21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CEEA1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090469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10000" w:type="dxa"/>
            <w:noWrap w:val="0"/>
            <w:vAlign w:val="center"/>
          </w:tcPr>
          <w:p w14:paraId="7219E8C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（6）</w:t>
            </w:r>
            <w:r>
              <w:rPr>
                <w:rFonts w:hint="eastAsia" w:ascii="仿宋" w:hAnsi="仿宋" w:eastAsia="仿宋" w:cs="仿宋"/>
                <w:color w:val="auto"/>
                <w:sz w:val="24"/>
                <w:szCs w:val="24"/>
                <w:highlight w:val="none"/>
                <w:u w:val="none"/>
                <w:lang w:val="en-US" w:eastAsia="zh-CN"/>
              </w:rPr>
              <w:t>通道、楼梯、门窗等设施的完好和正常使用。</w:t>
            </w:r>
          </w:p>
        </w:tc>
      </w:tr>
      <w:tr w14:paraId="12590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2AA9BF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3319" w:type="dxa"/>
            <w:vMerge w:val="restart"/>
            <w:noWrap w:val="0"/>
            <w:vAlign w:val="center"/>
          </w:tcPr>
          <w:p w14:paraId="326385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其他设施</w:t>
            </w:r>
          </w:p>
        </w:tc>
        <w:tc>
          <w:tcPr>
            <w:tcW w:w="10000" w:type="dxa"/>
            <w:noWrap w:val="0"/>
            <w:vAlign w:val="center"/>
          </w:tcPr>
          <w:p w14:paraId="59AF0EE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2C091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0D428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080972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00" w:type="dxa"/>
            <w:noWrap w:val="0"/>
            <w:vAlign w:val="center"/>
          </w:tcPr>
          <w:p w14:paraId="08556EB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（2）每年至少配合1次防雷装置检测，发现失效，及时向采购人报告，按采购人要求出具维修方案，待采购人同意后按维修方案实施维修。</w:t>
            </w:r>
          </w:p>
        </w:tc>
      </w:tr>
      <w:tr w14:paraId="55F8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5CBDA2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6AED8BBE">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00" w:type="dxa"/>
            <w:noWrap w:val="0"/>
            <w:vAlign w:val="center"/>
          </w:tcPr>
          <w:p w14:paraId="2967E9E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（3）</w:t>
            </w:r>
            <w:r>
              <w:rPr>
                <w:rFonts w:hint="eastAsia" w:ascii="仿宋" w:hAnsi="仿宋" w:eastAsia="仿宋" w:cs="仿宋"/>
                <w:color w:val="auto"/>
                <w:sz w:val="24"/>
                <w:szCs w:val="24"/>
                <w:highlight w:val="none"/>
                <w:u w:val="none"/>
                <w:lang w:val="en-US" w:eastAsia="zh-CN"/>
              </w:rPr>
              <w:t>路面状态良好，地漏通畅不堵塞。</w:t>
            </w:r>
          </w:p>
        </w:tc>
      </w:tr>
      <w:tr w14:paraId="533A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223ED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7A6EA6F9">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00" w:type="dxa"/>
            <w:noWrap w:val="0"/>
            <w:vAlign w:val="center"/>
          </w:tcPr>
          <w:p w14:paraId="571A5C9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（4）接到采购人家具报修服务后，及时通知家具供货商对保修期内的家具进行维修，及时对保修期外的家具进行维修。</w:t>
            </w:r>
          </w:p>
        </w:tc>
      </w:tr>
      <w:tr w14:paraId="28783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55C2C5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3319" w:type="dxa"/>
            <w:vMerge w:val="restart"/>
            <w:noWrap w:val="0"/>
            <w:vAlign w:val="center"/>
          </w:tcPr>
          <w:p w14:paraId="64F720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装饰装修</w:t>
            </w:r>
            <w:r>
              <w:rPr>
                <w:rFonts w:hint="eastAsia" w:ascii="仿宋" w:hAnsi="仿宋" w:eastAsia="仿宋" w:cs="仿宋"/>
                <w:sz w:val="24"/>
                <w:szCs w:val="24"/>
                <w:highlight w:val="none"/>
                <w:lang w:val="en-US" w:eastAsia="zh-CN"/>
              </w:rPr>
              <w:t>监督</w:t>
            </w:r>
            <w:r>
              <w:rPr>
                <w:rFonts w:hint="eastAsia" w:ascii="仿宋" w:hAnsi="仿宋" w:eastAsia="仿宋" w:cs="仿宋"/>
                <w:sz w:val="24"/>
                <w:szCs w:val="24"/>
                <w:highlight w:val="none"/>
              </w:rPr>
              <w:t>管理</w:t>
            </w:r>
          </w:p>
        </w:tc>
        <w:tc>
          <w:tcPr>
            <w:tcW w:w="10000" w:type="dxa"/>
            <w:noWrap w:val="0"/>
            <w:vAlign w:val="center"/>
          </w:tcPr>
          <w:p w14:paraId="1246CC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223A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72C1C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7D21C9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00" w:type="dxa"/>
            <w:noWrap w:val="0"/>
            <w:vAlign w:val="center"/>
          </w:tcPr>
          <w:p w14:paraId="5700260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（2）根据协议内容，做好装修垃圾临时堆放、清运等</w:t>
            </w:r>
            <w:r>
              <w:rPr>
                <w:rFonts w:hint="eastAsia" w:ascii="仿宋" w:hAnsi="仿宋" w:eastAsia="仿宋" w:cs="仿宋"/>
                <w:sz w:val="24"/>
                <w:szCs w:val="24"/>
                <w:highlight w:val="none"/>
                <w:lang w:eastAsia="zh-CN"/>
              </w:rPr>
              <w:t>。</w:t>
            </w:r>
          </w:p>
        </w:tc>
      </w:tr>
      <w:tr w14:paraId="124F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CEEF5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6552DC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10000" w:type="dxa"/>
            <w:noWrap w:val="0"/>
            <w:vAlign w:val="center"/>
          </w:tcPr>
          <w:p w14:paraId="6701F3D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（3）</w:t>
            </w:r>
            <w:r>
              <w:rPr>
                <w:rFonts w:hint="eastAsia" w:ascii="仿宋" w:hAnsi="仿宋" w:eastAsia="仿宋" w:cs="仿宋"/>
                <w:color w:val="auto"/>
                <w:sz w:val="24"/>
                <w:szCs w:val="24"/>
                <w:highlight w:val="none"/>
                <w:u w:val="none"/>
                <w:lang w:val="en-US" w:eastAsia="zh-CN"/>
              </w:rPr>
              <w:t>受</w:t>
            </w:r>
            <w:r>
              <w:rPr>
                <w:rFonts w:hint="eastAsia" w:ascii="仿宋" w:hAnsi="仿宋" w:eastAsia="仿宋" w:cs="仿宋"/>
                <w:b w:val="0"/>
                <w:bCs w:val="0"/>
                <w:color w:val="auto"/>
                <w:kern w:val="0"/>
                <w:sz w:val="24"/>
                <w:szCs w:val="24"/>
                <w:highlight w:val="none"/>
                <w:lang w:val="en-US" w:eastAsia="zh-CN"/>
              </w:rPr>
              <w:t>采购人</w:t>
            </w:r>
            <w:r>
              <w:rPr>
                <w:rFonts w:hint="eastAsia" w:ascii="仿宋" w:hAnsi="仿宋" w:eastAsia="仿宋" w:cs="仿宋"/>
                <w:color w:val="auto"/>
                <w:sz w:val="24"/>
                <w:szCs w:val="24"/>
                <w:highlight w:val="none"/>
                <w:u w:val="none"/>
                <w:lang w:val="en-US" w:eastAsia="zh-CN"/>
              </w:rPr>
              <w:t>委托对房屋内装修进行严格的监督管理，发现问题及时上报，确保不因装修而危及大楼结构安全、人身安全和影响正常办公秩序。</w:t>
            </w:r>
          </w:p>
        </w:tc>
      </w:tr>
      <w:tr w14:paraId="109E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31FFFF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3319" w:type="dxa"/>
            <w:vMerge w:val="restart"/>
            <w:noWrap w:val="0"/>
            <w:vAlign w:val="center"/>
          </w:tcPr>
          <w:p w14:paraId="71C98F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标识标牌</w:t>
            </w:r>
          </w:p>
        </w:tc>
        <w:tc>
          <w:tcPr>
            <w:tcW w:w="10000" w:type="dxa"/>
            <w:noWrap w:val="0"/>
            <w:vAlign w:val="center"/>
          </w:tcPr>
          <w:p w14:paraId="04787DE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lang w:val="en-US" w:eastAsia="zh-CN"/>
              </w:rPr>
              <w:t xml:space="preserve"> （1）标识标牌符合《</w:t>
            </w:r>
            <w:r>
              <w:rPr>
                <w:rFonts w:hint="eastAsia" w:ascii="仿宋" w:hAnsi="仿宋" w:eastAsia="仿宋" w:cs="仿宋"/>
                <w:color w:val="auto"/>
                <w:kern w:val="0"/>
                <w:sz w:val="24"/>
                <w:szCs w:val="24"/>
                <w:highlight w:val="none"/>
              </w:rPr>
              <w:t>公共信息图形符号 第1部分：通用符号</w:t>
            </w:r>
            <w:r>
              <w:rPr>
                <w:rFonts w:hint="eastAsia" w:ascii="仿宋" w:hAnsi="仿宋" w:eastAsia="仿宋" w:cs="仿宋"/>
                <w:b w:val="0"/>
                <w:bCs w:val="0"/>
                <w:color w:val="auto"/>
                <w:kern w:val="0"/>
                <w:sz w:val="24"/>
                <w:szCs w:val="24"/>
                <w:highlight w:val="none"/>
                <w:lang w:val="en-US" w:eastAsia="zh-CN"/>
              </w:rPr>
              <w:t>》（</w:t>
            </w:r>
            <w:r>
              <w:rPr>
                <w:rFonts w:hint="eastAsia" w:ascii="仿宋" w:hAnsi="仿宋" w:eastAsia="仿宋" w:cs="仿宋"/>
                <w:color w:val="auto"/>
                <w:kern w:val="0"/>
                <w:sz w:val="24"/>
                <w:szCs w:val="24"/>
                <w:highlight w:val="none"/>
              </w:rPr>
              <w:t>GB/T 10001.1</w:t>
            </w:r>
            <w:r>
              <w:rPr>
                <w:rFonts w:hint="eastAsia" w:ascii="仿宋" w:hAnsi="仿宋" w:eastAsia="仿宋" w:cs="仿宋"/>
                <w:b w:val="0"/>
                <w:bCs w:val="0"/>
                <w:color w:val="auto"/>
                <w:kern w:val="0"/>
                <w:sz w:val="24"/>
                <w:szCs w:val="24"/>
                <w:highlight w:val="none"/>
                <w:lang w:val="en-US" w:eastAsia="zh-CN"/>
              </w:rPr>
              <w:t>）的相关要求，消防与安全标识符合《</w:t>
            </w:r>
            <w:r>
              <w:rPr>
                <w:rFonts w:hint="eastAsia" w:ascii="仿宋" w:hAnsi="仿宋" w:eastAsia="仿宋" w:cs="仿宋"/>
                <w:color w:val="auto"/>
                <w:kern w:val="0"/>
                <w:sz w:val="24"/>
                <w:szCs w:val="24"/>
                <w:highlight w:val="none"/>
              </w:rPr>
              <w:t>安全标志及其使用导则</w:t>
            </w:r>
            <w:r>
              <w:rPr>
                <w:rFonts w:hint="eastAsia" w:ascii="仿宋" w:hAnsi="仿宋" w:eastAsia="仿宋" w:cs="仿宋"/>
                <w:b w:val="0"/>
                <w:bCs w:val="0"/>
                <w:color w:val="auto"/>
                <w:kern w:val="0"/>
                <w:sz w:val="24"/>
                <w:szCs w:val="24"/>
                <w:highlight w:val="none"/>
                <w:lang w:val="en-US" w:eastAsia="zh-CN"/>
              </w:rPr>
              <w:t>》（GB2894）、《消防安全标志　第1部分：标志》（GB13495.1）的相关要求。</w:t>
            </w:r>
          </w:p>
        </w:tc>
      </w:tr>
      <w:tr w14:paraId="2CE7B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34AAE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19" w:type="dxa"/>
            <w:vMerge w:val="continue"/>
            <w:noWrap w:val="0"/>
            <w:vAlign w:val="center"/>
          </w:tcPr>
          <w:p w14:paraId="636509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10000" w:type="dxa"/>
            <w:noWrap w:val="0"/>
            <w:vAlign w:val="center"/>
          </w:tcPr>
          <w:p w14:paraId="46749DF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（2）每月至少检查1次标识标牌和消防与安全标识。应当规范清晰、路线指引正确、安装稳固。</w:t>
            </w:r>
          </w:p>
        </w:tc>
      </w:tr>
    </w:tbl>
    <w:p w14:paraId="2F8B8C10">
      <w:pPr>
        <w:pStyle w:val="3"/>
        <w:bidi w:val="0"/>
        <w:jc w:val="both"/>
        <w:rPr>
          <w:rFonts w:hint="default"/>
          <w:sz w:val="28"/>
          <w:szCs w:val="28"/>
          <w:highlight w:val="none"/>
          <w:u w:val="none"/>
          <w:lang w:val="en-US" w:eastAsia="zh-CN"/>
        </w:rPr>
      </w:pPr>
      <w:r>
        <w:rPr>
          <w:rFonts w:hint="eastAsia"/>
          <w:sz w:val="28"/>
          <w:szCs w:val="28"/>
          <w:highlight w:val="none"/>
          <w:u w:val="none"/>
          <w:lang w:val="en-US" w:eastAsia="zh-CN"/>
        </w:rPr>
        <w:t>3.3公用设施设备维护服务</w:t>
      </w:r>
    </w:p>
    <w:tbl>
      <w:tblPr>
        <w:tblStyle w:val="5"/>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60"/>
        <w:gridCol w:w="5864"/>
      </w:tblGrid>
      <w:tr w14:paraId="1930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noWrap w:val="0"/>
            <w:vAlign w:val="center"/>
          </w:tcPr>
          <w:p w14:paraId="38B86C39">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2136" w:type="dxa"/>
            <w:noWrap w:val="0"/>
            <w:vAlign w:val="center"/>
          </w:tcPr>
          <w:p w14:paraId="71609863">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6390" w:type="dxa"/>
            <w:noWrap w:val="0"/>
            <w:vAlign w:val="center"/>
          </w:tcPr>
          <w:p w14:paraId="2503ED8A">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205F8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35A755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136" w:type="dxa"/>
            <w:vMerge w:val="restart"/>
            <w:noWrap w:val="0"/>
            <w:vAlign w:val="center"/>
          </w:tcPr>
          <w:p w14:paraId="34E232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基本要求</w:t>
            </w:r>
          </w:p>
        </w:tc>
        <w:tc>
          <w:tcPr>
            <w:tcW w:w="6390" w:type="dxa"/>
            <w:noWrap w:val="0"/>
            <w:vAlign w:val="center"/>
          </w:tcPr>
          <w:p w14:paraId="60FC743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（1）重大节假日及恶劣天气前后，组织系统巡检1次。</w:t>
            </w:r>
          </w:p>
        </w:tc>
      </w:tr>
      <w:tr w14:paraId="774B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10BBBD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7B5EC6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2B8F1D4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（2）具备设施设备安全、稳定运行的环境和场所（含有限空间），温湿度、照度、粉尘和烟雾浓度等符合相关安全规范。</w:t>
            </w:r>
          </w:p>
        </w:tc>
      </w:tr>
      <w:tr w14:paraId="3279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2" w:type="dxa"/>
            <w:vMerge w:val="restart"/>
            <w:noWrap w:val="0"/>
            <w:vAlign w:val="center"/>
          </w:tcPr>
          <w:p w14:paraId="3070AE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2136" w:type="dxa"/>
            <w:vMerge w:val="restart"/>
            <w:noWrap w:val="0"/>
            <w:vAlign w:val="center"/>
          </w:tcPr>
          <w:p w14:paraId="3F03DE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设备机房</w:t>
            </w:r>
          </w:p>
        </w:tc>
        <w:tc>
          <w:tcPr>
            <w:tcW w:w="6390" w:type="dxa"/>
            <w:noWrap w:val="0"/>
            <w:vAlign w:val="center"/>
          </w:tcPr>
          <w:p w14:paraId="5412702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3B5E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92" w:type="dxa"/>
            <w:vMerge w:val="continue"/>
            <w:noWrap w:val="0"/>
            <w:vAlign w:val="center"/>
          </w:tcPr>
          <w:p w14:paraId="2DAD9E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2343F8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2AEEDED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（2）设备机房门窗、锁具应当完好、有效。</w:t>
            </w:r>
          </w:p>
        </w:tc>
      </w:tr>
      <w:tr w14:paraId="2CE4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92" w:type="dxa"/>
            <w:vMerge w:val="continue"/>
            <w:noWrap w:val="0"/>
            <w:vAlign w:val="center"/>
          </w:tcPr>
          <w:p w14:paraId="20F00D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AF4FF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7B50784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（3）每半月至少开展1次清洁，整洁有序、无杂物、无积尘、无鼠、无虫害，温湿度符合设备运行要求。</w:t>
            </w:r>
          </w:p>
        </w:tc>
      </w:tr>
      <w:tr w14:paraId="1F2E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92" w:type="dxa"/>
            <w:vMerge w:val="continue"/>
            <w:noWrap w:val="0"/>
            <w:vAlign w:val="center"/>
          </w:tcPr>
          <w:p w14:paraId="154228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82B9F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68F3FF2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（4）按各设备机房国家标准规范规定维护/保管消防、通风、应急照明，防止小动物进入。</w:t>
            </w:r>
          </w:p>
        </w:tc>
      </w:tr>
      <w:tr w14:paraId="6D9A6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92" w:type="dxa"/>
            <w:vMerge w:val="continue"/>
            <w:noWrap w:val="0"/>
            <w:vAlign w:val="center"/>
          </w:tcPr>
          <w:p w14:paraId="5CB704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41A8B9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585D2C6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（5）安全防护用具配置齐全，检验合格。</w:t>
            </w:r>
          </w:p>
        </w:tc>
      </w:tr>
      <w:tr w14:paraId="1923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92" w:type="dxa"/>
            <w:vMerge w:val="continue"/>
            <w:noWrap w:val="0"/>
            <w:vAlign w:val="center"/>
          </w:tcPr>
          <w:p w14:paraId="417F87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7425C7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4B1110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（6）应急设施设备用品应当齐全、完备，可随时启用。</w:t>
            </w:r>
          </w:p>
        </w:tc>
      </w:tr>
      <w:tr w14:paraId="0C1E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37F7EF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2136" w:type="dxa"/>
            <w:vMerge w:val="restart"/>
            <w:noWrap w:val="0"/>
            <w:vAlign w:val="center"/>
          </w:tcPr>
          <w:p w14:paraId="6FE478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给排水系统</w:t>
            </w:r>
          </w:p>
        </w:tc>
        <w:tc>
          <w:tcPr>
            <w:tcW w:w="6390" w:type="dxa"/>
            <w:noWrap w:val="0"/>
            <w:vAlign w:val="center"/>
          </w:tcPr>
          <w:p w14:paraId="4015250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（1）生活饮用水卫生符合《</w:t>
            </w:r>
            <w:r>
              <w:rPr>
                <w:rFonts w:hint="eastAsia" w:ascii="仿宋" w:hAnsi="仿宋" w:eastAsia="仿宋" w:cs="仿宋"/>
                <w:color w:val="auto"/>
                <w:kern w:val="0"/>
                <w:sz w:val="24"/>
                <w:szCs w:val="24"/>
                <w:highlight w:val="none"/>
              </w:rPr>
              <w:t>生活饮用水卫生标准</w:t>
            </w:r>
            <w:r>
              <w:rPr>
                <w:rFonts w:hint="eastAsia" w:ascii="仿宋" w:hAnsi="仿宋" w:eastAsia="仿宋" w:cs="仿宋"/>
                <w:b w:val="0"/>
                <w:bCs w:val="0"/>
                <w:color w:val="auto"/>
                <w:kern w:val="0"/>
                <w:sz w:val="24"/>
                <w:szCs w:val="24"/>
                <w:highlight w:val="none"/>
                <w:lang w:val="en-US" w:eastAsia="zh-CN"/>
              </w:rPr>
              <w:t>》（GB5749）的相关要求。</w:t>
            </w:r>
          </w:p>
        </w:tc>
      </w:tr>
      <w:tr w14:paraId="4AEB9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1D0EFD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3E34C7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73E479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（2）二次供水卫生符合《二次供水设施卫生规范》（GB17051）的相关要求。</w:t>
            </w:r>
          </w:p>
        </w:tc>
      </w:tr>
      <w:tr w14:paraId="092B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4F5E6C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65CB6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286C8A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（3）设施设备、阀门、管道等运行正常，无跑、冒、滴、漏现象。</w:t>
            </w:r>
          </w:p>
        </w:tc>
      </w:tr>
      <w:tr w14:paraId="2185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22E8A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40CB9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1CC2C09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（4）有水泵房、水箱间的，每日至少巡视1次。每年至少养护1次水泵。</w:t>
            </w:r>
          </w:p>
        </w:tc>
      </w:tr>
      <w:tr w14:paraId="5F66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BFE18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A75BF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7FF7E6A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（5）遇供水单位限水、停水，按规定时间通知采购人。</w:t>
            </w:r>
          </w:p>
        </w:tc>
      </w:tr>
      <w:tr w14:paraId="3C39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19D7D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7D1531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2BBA408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（6）每季度至少开展1次对排水管进行疏通、清污，保证室内外排水系统通畅。</w:t>
            </w:r>
          </w:p>
        </w:tc>
      </w:tr>
      <w:tr w14:paraId="2B9D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4A0D98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2136" w:type="dxa"/>
            <w:vMerge w:val="restart"/>
            <w:noWrap w:val="0"/>
            <w:vAlign w:val="center"/>
          </w:tcPr>
          <w:p w14:paraId="51E353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电梯系统</w:t>
            </w:r>
          </w:p>
        </w:tc>
        <w:tc>
          <w:tcPr>
            <w:tcW w:w="6390" w:type="dxa"/>
            <w:noWrap w:val="0"/>
            <w:vAlign w:val="center"/>
          </w:tcPr>
          <w:p w14:paraId="5870A92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（1）电梯运行平稳、无异响、平层、开关正常。每周至少开展2次电梯的安全状况检查。</w:t>
            </w:r>
          </w:p>
        </w:tc>
      </w:tr>
      <w:tr w14:paraId="44E8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024FE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DA0DD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21B40C8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（2）电梯准用证、年检合格证等证件齐全。相关证件、紧急救援电话和乘客注意事项置于轿厢醒目位置。</w:t>
            </w:r>
          </w:p>
        </w:tc>
      </w:tr>
      <w:tr w14:paraId="00FF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6CD002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4D3039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22D1155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（3）每年至少开展1次对电梯的全面检测，并出具检测报告，核发电梯使用标志。</w:t>
            </w:r>
          </w:p>
        </w:tc>
      </w:tr>
      <w:tr w14:paraId="6D10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707B95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620030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448DDD9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（4）电梯维保应当符合《电梯维护保养规则》（TSG T5002）的有关要求。</w:t>
            </w:r>
          </w:p>
        </w:tc>
      </w:tr>
      <w:tr w14:paraId="6365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69E0E1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3F3EF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723D8D9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（5）电梯使用应当符合《特种设备使用管理规则》（TSG 08）的有关要求。</w:t>
            </w:r>
          </w:p>
        </w:tc>
      </w:tr>
      <w:tr w14:paraId="3BEF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E3856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78FA62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42B0912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7A2E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3B637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2647B4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68EE21B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（7）到场进行救助和排除故障。电梯紧急电话保持畅通。</w:t>
            </w:r>
          </w:p>
        </w:tc>
      </w:tr>
      <w:tr w14:paraId="4B56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774B9F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5EA0C4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5EDEFDB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（8）电梯维修、保养时在现场设置提示标识和防护围栏。</w:t>
            </w:r>
          </w:p>
        </w:tc>
      </w:tr>
      <w:tr w14:paraId="0A24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DDE70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97C96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5785C67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（9）根据采购人需求，合理设置电梯开启的数量、时间。</w:t>
            </w:r>
          </w:p>
        </w:tc>
      </w:tr>
      <w:tr w14:paraId="09C8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2D3957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2136" w:type="dxa"/>
            <w:vMerge w:val="restart"/>
            <w:noWrap w:val="0"/>
            <w:vAlign w:val="center"/>
          </w:tcPr>
          <w:p w14:paraId="220278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空调</w:t>
            </w:r>
            <w:r>
              <w:rPr>
                <w:rFonts w:hint="eastAsia" w:ascii="仿宋" w:hAnsi="仿宋" w:eastAsia="仿宋" w:cs="仿宋"/>
                <w:sz w:val="24"/>
                <w:szCs w:val="24"/>
                <w:highlight w:val="none"/>
              </w:rPr>
              <w:t>系统</w:t>
            </w:r>
          </w:p>
        </w:tc>
        <w:tc>
          <w:tcPr>
            <w:tcW w:w="6390" w:type="dxa"/>
            <w:noWrap w:val="0"/>
            <w:vAlign w:val="center"/>
          </w:tcPr>
          <w:p w14:paraId="0A6D0D3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（1）空调通风系统运行管理符合《空调通风系统运行管理标准》（GB50365）的相关要求。</w:t>
            </w:r>
          </w:p>
        </w:tc>
      </w:tr>
      <w:tr w14:paraId="4EE7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C7116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89F79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338A962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（2）办公楼内温湿度、空气质量等符合《室内空气质量标准》（GB/T18883）的相关要求。</w:t>
            </w:r>
          </w:p>
        </w:tc>
      </w:tr>
      <w:tr w14:paraId="0EBC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D7525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460014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078C558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（3）定期维保并做好记录，保证空调设施设备处于良好状态。</w:t>
            </w:r>
          </w:p>
        </w:tc>
      </w:tr>
      <w:tr w14:paraId="5B2B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79080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993B5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7142DEB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（4）空调运行前对冷水机组、循环水泵、冷却塔、风机等设施设备进行系统检查，运行期间每日至少开展1次运行情况巡查。</w:t>
            </w:r>
          </w:p>
        </w:tc>
      </w:tr>
      <w:tr w14:paraId="7408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674183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3AEB30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38C6725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（5）每半年至少开展1次管道、阀门检查并除锈。</w:t>
            </w:r>
          </w:p>
        </w:tc>
      </w:tr>
      <w:tr w14:paraId="2A5B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2D219F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5DD479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3D89314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（6）每年至少开展1次系统整体性维修养护，检验1次压力容器、仪表及冷却塔噪声。</w:t>
            </w:r>
          </w:p>
        </w:tc>
      </w:tr>
      <w:tr w14:paraId="27C0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6D950B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02068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04FC00A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（7）每年至少开展1次新风机、空气处理机滤网等清洗消毒；每2年至少开展1次风管清洗消毒。</w:t>
            </w:r>
          </w:p>
        </w:tc>
      </w:tr>
      <w:tr w14:paraId="000D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7A080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0E4D8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13B021A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（8）每年至少开展1次分体式空调主机（含空调过滤网）和室外机清洁。每月至少开展1次挂机和室外支架稳固性巡查。</w:t>
            </w:r>
          </w:p>
        </w:tc>
      </w:tr>
      <w:tr w14:paraId="366A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B26FA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27532C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6579DE8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（9）制冷、供暖系统温度设定及启用时间符合节能要求。</w:t>
            </w:r>
          </w:p>
        </w:tc>
      </w:tr>
      <w:tr w14:paraId="28FA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82CB3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466C4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09D262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（10）</w:t>
            </w:r>
            <w:r>
              <w:rPr>
                <w:rFonts w:hint="eastAsia" w:ascii="仿宋" w:hAnsi="仿宋" w:eastAsia="仿宋" w:cs="仿宋"/>
                <w:color w:val="auto"/>
                <w:sz w:val="24"/>
                <w:szCs w:val="24"/>
                <w:highlight w:val="none"/>
                <w:u w:val="none"/>
                <w:lang w:val="en-US" w:eastAsia="zh-CN"/>
              </w:rPr>
              <w:t>发现故障或损坏应当在30分钟内到场，紧急维修应当在15分钟内到达现场，在12小时内维修完毕。</w:t>
            </w:r>
          </w:p>
        </w:tc>
      </w:tr>
      <w:tr w14:paraId="2BF4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712A00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2136" w:type="dxa"/>
            <w:vMerge w:val="restart"/>
            <w:noWrap w:val="0"/>
            <w:vAlign w:val="center"/>
          </w:tcPr>
          <w:p w14:paraId="027BDF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消防</w:t>
            </w:r>
            <w:r>
              <w:rPr>
                <w:rFonts w:hint="eastAsia" w:ascii="仿宋" w:hAnsi="仿宋" w:eastAsia="仿宋" w:cs="仿宋"/>
                <w:sz w:val="24"/>
                <w:szCs w:val="24"/>
                <w:highlight w:val="none"/>
              </w:rPr>
              <w:t>系统</w:t>
            </w:r>
          </w:p>
        </w:tc>
        <w:tc>
          <w:tcPr>
            <w:tcW w:w="6390" w:type="dxa"/>
            <w:noWrap w:val="0"/>
            <w:vAlign w:val="center"/>
          </w:tcPr>
          <w:p w14:paraId="552B24C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（1）消防设施的维护管理符合《建筑消防设施的维护管理》（GB25201）的相关要求。</w:t>
            </w:r>
          </w:p>
        </w:tc>
      </w:tr>
      <w:tr w14:paraId="7CA2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2CC43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7AA635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4D56133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（2）消防设备检测符合《建筑消防设施检测技术规程》（GA503或XF503）的相关要求。</w:t>
            </w:r>
          </w:p>
        </w:tc>
      </w:tr>
      <w:tr w14:paraId="5C16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2F6A2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84986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5FE8F4F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（3）消防设施平面图、火警疏散示意图、防火分区图等按幢设置在楼层醒目位置。</w:t>
            </w:r>
          </w:p>
        </w:tc>
      </w:tr>
      <w:tr w14:paraId="7BCC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2DE951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4ECC2E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07BC1D7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（4）消防系统各设施设备使用说明清晰，宜图文结合。</w:t>
            </w:r>
          </w:p>
        </w:tc>
      </w:tr>
      <w:tr w14:paraId="05EBC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69B271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64F731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765740C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（5）自动喷水灭火系统启动正常。</w:t>
            </w:r>
          </w:p>
        </w:tc>
      </w:tr>
      <w:tr w14:paraId="59B6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F8651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32FCB2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2543023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（6）消火栓箱、防火门、灭火器、消防水泵、红外线报警器、应急照明、安全疏散等系统运行正常。</w:t>
            </w:r>
          </w:p>
        </w:tc>
      </w:tr>
      <w:tr w14:paraId="1249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E66E0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574C6C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37910FA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（7）消防监控系统运行良好，自动和手动报警设施启动正常。</w:t>
            </w:r>
          </w:p>
        </w:tc>
      </w:tr>
      <w:tr w14:paraId="7C18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49C3E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6FDBB9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4344737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（8）正压送风、防排烟系统运行正常。</w:t>
            </w:r>
          </w:p>
        </w:tc>
      </w:tr>
      <w:tr w14:paraId="0283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5E9676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2136" w:type="dxa"/>
            <w:vMerge w:val="restart"/>
            <w:noWrap w:val="0"/>
            <w:vAlign w:val="center"/>
          </w:tcPr>
          <w:p w14:paraId="0CDAF3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w:t>
            </w:r>
            <w:r>
              <w:rPr>
                <w:rFonts w:hint="eastAsia" w:ascii="仿宋" w:hAnsi="仿宋" w:eastAsia="仿宋" w:cs="仿宋"/>
                <w:sz w:val="24"/>
                <w:szCs w:val="24"/>
                <w:highlight w:val="none"/>
                <w:lang w:val="en-US" w:eastAsia="zh-CN"/>
              </w:rPr>
              <w:t>配电</w:t>
            </w:r>
            <w:r>
              <w:rPr>
                <w:rFonts w:hint="eastAsia" w:ascii="仿宋" w:hAnsi="仿宋" w:eastAsia="仿宋" w:cs="仿宋"/>
                <w:sz w:val="24"/>
                <w:szCs w:val="24"/>
                <w:highlight w:val="none"/>
              </w:rPr>
              <w:t>系统</w:t>
            </w:r>
          </w:p>
        </w:tc>
        <w:tc>
          <w:tcPr>
            <w:tcW w:w="6390" w:type="dxa"/>
            <w:noWrap w:val="0"/>
            <w:vAlign w:val="center"/>
          </w:tcPr>
          <w:p w14:paraId="6D7078A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（1）建立运行值班监控制度。</w:t>
            </w:r>
          </w:p>
        </w:tc>
      </w:tr>
      <w:tr w14:paraId="50EB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5A75C3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2136" w:type="dxa"/>
            <w:vMerge w:val="continue"/>
            <w:noWrap w:val="0"/>
            <w:vAlign w:val="center"/>
          </w:tcPr>
          <w:p w14:paraId="3214B0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63DBFFA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（2）对供电范围内的电气设备定期巡视维护，加强高低压配电柜、配电箱、控制柜及线路等重点部位监测。</w:t>
            </w:r>
          </w:p>
        </w:tc>
      </w:tr>
      <w:tr w14:paraId="0DFA0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777E4E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2136" w:type="dxa"/>
            <w:vMerge w:val="continue"/>
            <w:noWrap w:val="0"/>
            <w:vAlign w:val="center"/>
          </w:tcPr>
          <w:p w14:paraId="258048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C0D85F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（3）公共使用的照明、指示灯具线路、开关、接地等保持完好，确保用电安全。</w:t>
            </w:r>
          </w:p>
        </w:tc>
      </w:tr>
      <w:tr w14:paraId="5A3C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A2ED8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2136" w:type="dxa"/>
            <w:vMerge w:val="continue"/>
            <w:noWrap w:val="0"/>
            <w:vAlign w:val="center"/>
          </w:tcPr>
          <w:p w14:paraId="7CA692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6CF3DE0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（4）核心部位用电建立高可控用电保障和配备应急发电设备，定期维护应急发电设备。</w:t>
            </w:r>
          </w:p>
        </w:tc>
      </w:tr>
      <w:tr w14:paraId="3063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14C452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2136" w:type="dxa"/>
            <w:vMerge w:val="continue"/>
            <w:noWrap w:val="0"/>
            <w:vAlign w:val="center"/>
          </w:tcPr>
          <w:p w14:paraId="63B60A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0CA080B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（5）发生非计划性停电的，应当在事件发生后及时通知采购人，快速恢复或启用应急电源，并做好应急事件上报及处理工作。</w:t>
            </w:r>
          </w:p>
        </w:tc>
      </w:tr>
      <w:tr w14:paraId="539D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46630E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2136" w:type="dxa"/>
            <w:vMerge w:val="continue"/>
            <w:noWrap w:val="0"/>
            <w:vAlign w:val="center"/>
          </w:tcPr>
          <w:p w14:paraId="6C42FA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17441E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（6）复杂故障涉及供电部门维修处置的及时与供电部门联系，并向采购人报告。</w:t>
            </w:r>
          </w:p>
        </w:tc>
      </w:tr>
      <w:tr w14:paraId="4EFB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24C913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2136" w:type="dxa"/>
            <w:vMerge w:val="restart"/>
            <w:noWrap w:val="0"/>
            <w:vAlign w:val="center"/>
          </w:tcPr>
          <w:p w14:paraId="535534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弱电系统</w:t>
            </w:r>
          </w:p>
        </w:tc>
        <w:tc>
          <w:tcPr>
            <w:tcW w:w="6390" w:type="dxa"/>
            <w:noWrap w:val="0"/>
            <w:vAlign w:val="center"/>
          </w:tcPr>
          <w:p w14:paraId="2E1BC90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（1）安全防范系统维护保养符合《安全防范系统维护保养规范》（</w:t>
            </w:r>
            <w:r>
              <w:rPr>
                <w:rFonts w:hint="eastAsia" w:ascii="仿宋" w:hAnsi="仿宋" w:eastAsia="仿宋" w:cs="仿宋"/>
                <w:color w:val="auto"/>
                <w:kern w:val="0"/>
                <w:sz w:val="24"/>
                <w:szCs w:val="24"/>
                <w:highlight w:val="none"/>
              </w:rPr>
              <w:t>GA/T 1081</w:t>
            </w:r>
            <w:r>
              <w:rPr>
                <w:rFonts w:hint="eastAsia" w:ascii="仿宋" w:hAnsi="仿宋" w:eastAsia="仿宋" w:cs="仿宋"/>
                <w:b w:val="0"/>
                <w:bCs w:val="0"/>
                <w:color w:val="auto"/>
                <w:kern w:val="0"/>
                <w:sz w:val="24"/>
                <w:szCs w:val="24"/>
                <w:highlight w:val="none"/>
                <w:lang w:val="en-US" w:eastAsia="zh-CN"/>
              </w:rPr>
              <w:t>）的相关要求。</w:t>
            </w:r>
          </w:p>
        </w:tc>
      </w:tr>
      <w:tr w14:paraId="1FE6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755BE2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447B83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4C87069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（2）保持监控系统、门禁系统、安全防范系统等运行正常，有故障及时排除。</w:t>
            </w:r>
          </w:p>
        </w:tc>
      </w:tr>
      <w:tr w14:paraId="0C20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58FC07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2136" w:type="dxa"/>
            <w:vMerge w:val="restart"/>
            <w:noWrap w:val="0"/>
            <w:vAlign w:val="center"/>
          </w:tcPr>
          <w:p w14:paraId="177B42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照明</w:t>
            </w:r>
            <w:r>
              <w:rPr>
                <w:rFonts w:hint="eastAsia" w:ascii="仿宋" w:hAnsi="仿宋" w:eastAsia="仿宋" w:cs="仿宋"/>
                <w:sz w:val="24"/>
                <w:szCs w:val="24"/>
                <w:highlight w:val="none"/>
              </w:rPr>
              <w:t>系统</w:t>
            </w:r>
          </w:p>
        </w:tc>
        <w:tc>
          <w:tcPr>
            <w:tcW w:w="6390" w:type="dxa"/>
            <w:noWrap w:val="0"/>
            <w:vAlign w:val="center"/>
          </w:tcPr>
          <w:p w14:paraId="2CBF52E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（1）外观整洁无缺损、无松落。</w:t>
            </w:r>
          </w:p>
        </w:tc>
      </w:tr>
      <w:tr w14:paraId="2A14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FD8B4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23A9A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671CF8B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（2）更换的照明灯具应当选用节能环保产品，亮度与更换前保持一致。</w:t>
            </w:r>
          </w:p>
        </w:tc>
      </w:tr>
      <w:tr w14:paraId="6E9D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25630E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5056E8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70932D1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（3）每周至少开展1次公共区域照明设备巡视。</w:t>
            </w:r>
          </w:p>
        </w:tc>
      </w:tr>
      <w:tr w14:paraId="7790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05993D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2136" w:type="dxa"/>
            <w:vMerge w:val="restart"/>
            <w:noWrap w:val="0"/>
            <w:vAlign w:val="center"/>
          </w:tcPr>
          <w:p w14:paraId="0F2192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锅炉设备/热力站</w:t>
            </w:r>
          </w:p>
        </w:tc>
        <w:tc>
          <w:tcPr>
            <w:tcW w:w="6390" w:type="dxa"/>
            <w:noWrap w:val="0"/>
            <w:vAlign w:val="center"/>
          </w:tcPr>
          <w:p w14:paraId="2FB4441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（1）建立值班监控制度。</w:t>
            </w:r>
          </w:p>
        </w:tc>
      </w:tr>
      <w:tr w14:paraId="3C9C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2D0574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9D1EC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0586D3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（2）每年至少开展1次锅炉设备的全面检查。</w:t>
            </w:r>
          </w:p>
        </w:tc>
      </w:tr>
      <w:tr w14:paraId="3F5E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6038D0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620C92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553ED8B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（3）每年至少开展1次锅炉设备及其辅助设备检测，确保各类设备、仪器仪表、水管线路运行正常。</w:t>
            </w:r>
          </w:p>
        </w:tc>
      </w:tr>
      <w:tr w14:paraId="3D3B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7B8264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5B6599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44AC85B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（4）每年至少开展1次锅炉水质检测，确保水质合格。</w:t>
            </w:r>
          </w:p>
        </w:tc>
      </w:tr>
      <w:tr w14:paraId="2B2B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31B58A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681DF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2B41D1E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（5）按锅炉厂家制定的检修规程对锅炉进行检修。</w:t>
            </w:r>
          </w:p>
        </w:tc>
      </w:tr>
      <w:tr w14:paraId="121A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restart"/>
            <w:noWrap w:val="0"/>
            <w:vAlign w:val="center"/>
          </w:tcPr>
          <w:p w14:paraId="03C84F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2136" w:type="dxa"/>
            <w:vMerge w:val="restart"/>
            <w:noWrap w:val="0"/>
            <w:vAlign w:val="center"/>
          </w:tcPr>
          <w:p w14:paraId="672C15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采暖系统</w:t>
            </w:r>
          </w:p>
        </w:tc>
        <w:tc>
          <w:tcPr>
            <w:tcW w:w="6390" w:type="dxa"/>
            <w:noWrap w:val="0"/>
            <w:vAlign w:val="center"/>
          </w:tcPr>
          <w:p w14:paraId="1E8B0BE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（1）定期检查供暖管道、阀门运行情况，确保正常无隐患。</w:t>
            </w:r>
          </w:p>
        </w:tc>
      </w:tr>
      <w:tr w14:paraId="07E2C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3ACC4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1BA7DF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4AE4A9E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（2）负责暖气片、阀门龙头等新装布置及旧装拆除、日常维修更换及管线的跑、冒、滴、漏的维修。</w:t>
            </w:r>
          </w:p>
        </w:tc>
      </w:tr>
      <w:tr w14:paraId="039D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7BF36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424695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6390" w:type="dxa"/>
            <w:noWrap w:val="0"/>
            <w:vAlign w:val="center"/>
          </w:tcPr>
          <w:p w14:paraId="20A780C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（3）做好供暖前检查等相关准备工作。</w:t>
            </w:r>
          </w:p>
        </w:tc>
      </w:tr>
      <w:tr w14:paraId="013F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0B7180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3BAD12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590D0A3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（4）暖气片上水前，提前通知采购人。</w:t>
            </w:r>
          </w:p>
        </w:tc>
      </w:tr>
      <w:tr w14:paraId="7313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4D34B0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0F575A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350E3EB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（5）供暖期间做好日常检查、维护、抢修、登记上报等工作。</w:t>
            </w:r>
          </w:p>
        </w:tc>
      </w:tr>
      <w:tr w14:paraId="67B9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Merge w:val="continue"/>
            <w:noWrap w:val="0"/>
            <w:vAlign w:val="center"/>
          </w:tcPr>
          <w:p w14:paraId="2CEF95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136" w:type="dxa"/>
            <w:vMerge w:val="continue"/>
            <w:noWrap w:val="0"/>
            <w:vAlign w:val="center"/>
          </w:tcPr>
          <w:p w14:paraId="7EA8E1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6390" w:type="dxa"/>
            <w:noWrap w:val="0"/>
            <w:vAlign w:val="center"/>
          </w:tcPr>
          <w:p w14:paraId="43D33FC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（6）根据天气情况适时调节供暖设备运行工况，节约能源。</w:t>
            </w:r>
          </w:p>
        </w:tc>
      </w:tr>
    </w:tbl>
    <w:p w14:paraId="5969706D">
      <w:pPr>
        <w:pStyle w:val="3"/>
        <w:bidi w:val="0"/>
        <w:jc w:val="both"/>
        <w:rPr>
          <w:rFonts w:hint="default"/>
          <w:sz w:val="28"/>
          <w:szCs w:val="28"/>
          <w:highlight w:val="none"/>
          <w:u w:val="none"/>
          <w:lang w:val="en-US" w:eastAsia="zh-CN"/>
        </w:rPr>
      </w:pPr>
      <w:r>
        <w:rPr>
          <w:rFonts w:hint="eastAsia"/>
          <w:sz w:val="28"/>
          <w:szCs w:val="28"/>
          <w:highlight w:val="none"/>
          <w:u w:val="none"/>
          <w:lang w:val="en-US" w:eastAsia="zh-CN"/>
        </w:rPr>
        <w:t>3.4</w:t>
      </w:r>
      <w:r>
        <w:rPr>
          <w:rFonts w:hint="default"/>
          <w:sz w:val="28"/>
          <w:szCs w:val="28"/>
          <w:highlight w:val="none"/>
          <w:u w:val="none"/>
          <w:lang w:val="en-US" w:eastAsia="zh-CN"/>
        </w:rPr>
        <w:t>保洁服务</w:t>
      </w:r>
    </w:p>
    <w:tbl>
      <w:tblPr>
        <w:tblStyle w:val="5"/>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3"/>
        <w:gridCol w:w="5841"/>
      </w:tblGrid>
      <w:tr w14:paraId="5F9E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noWrap w:val="0"/>
            <w:vAlign w:val="center"/>
          </w:tcPr>
          <w:p w14:paraId="41366366">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3372" w:type="dxa"/>
            <w:noWrap w:val="0"/>
            <w:vAlign w:val="center"/>
          </w:tcPr>
          <w:p w14:paraId="2C2C52A7">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9978" w:type="dxa"/>
            <w:noWrap w:val="0"/>
            <w:vAlign w:val="center"/>
          </w:tcPr>
          <w:p w14:paraId="11114691">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439B8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66C9B8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3372" w:type="dxa"/>
            <w:vMerge w:val="restart"/>
            <w:noWrap w:val="0"/>
            <w:vAlign w:val="center"/>
          </w:tcPr>
          <w:p w14:paraId="46A139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基本要求</w:t>
            </w:r>
          </w:p>
        </w:tc>
        <w:tc>
          <w:tcPr>
            <w:tcW w:w="9978" w:type="dxa"/>
            <w:noWrap w:val="0"/>
            <w:vAlign w:val="center"/>
          </w:tcPr>
          <w:p w14:paraId="621B546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（1）建立保洁服务的工作制度及工作计划，并按照执行。</w:t>
            </w:r>
          </w:p>
        </w:tc>
      </w:tr>
      <w:tr w14:paraId="74D8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9229F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40F7F7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78" w:type="dxa"/>
            <w:noWrap w:val="0"/>
            <w:vAlign w:val="center"/>
          </w:tcPr>
          <w:p w14:paraId="26C1F2A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（2）做好保洁服务工作记录，记录填写规范、保存完好。</w:t>
            </w:r>
          </w:p>
        </w:tc>
      </w:tr>
      <w:tr w14:paraId="43B3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F5AFA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20D8A0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78" w:type="dxa"/>
            <w:noWrap w:val="0"/>
            <w:vAlign w:val="center"/>
          </w:tcPr>
          <w:p w14:paraId="4B4E08B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（3）作业时采取安全防护措施，防止对作业人员或他人造成伤害。相关耗材的环保、安全性等应当符合国家相关规定要求。</w:t>
            </w:r>
          </w:p>
        </w:tc>
      </w:tr>
      <w:tr w14:paraId="6C2E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FF6E5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651354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57B169E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（4）进入保密区域时，有采购人相关人员全程在场。</w:t>
            </w:r>
          </w:p>
        </w:tc>
      </w:tr>
      <w:tr w14:paraId="5357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19" w:type="dxa"/>
            <w:vMerge w:val="restart"/>
            <w:noWrap w:val="0"/>
            <w:vAlign w:val="center"/>
          </w:tcPr>
          <w:p w14:paraId="0FF7E0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3372" w:type="dxa"/>
            <w:vMerge w:val="restart"/>
            <w:noWrap w:val="0"/>
            <w:vAlign w:val="center"/>
          </w:tcPr>
          <w:p w14:paraId="13AF58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办公用房区域保洁</w:t>
            </w:r>
          </w:p>
        </w:tc>
        <w:tc>
          <w:tcPr>
            <w:tcW w:w="9978" w:type="dxa"/>
            <w:noWrap w:val="0"/>
            <w:vAlign w:val="center"/>
          </w:tcPr>
          <w:p w14:paraId="00F0DF9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（1）大厅、楼内公共通道：</w:t>
            </w:r>
          </w:p>
          <w:p w14:paraId="76D6C98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①公共通道保持干净，无异味、无杂物、无积水，每日至少开展1次清洁作业。</w:t>
            </w:r>
          </w:p>
          <w:p w14:paraId="339A644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②门窗玻璃干净无尘，透光性好，每周至少开展1次清洁作业。</w:t>
            </w:r>
          </w:p>
          <w:p w14:paraId="0B3D106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③指示牌干净，无污渍，每日至少开展1次清洁作业。</w:t>
            </w:r>
          </w:p>
        </w:tc>
      </w:tr>
      <w:tr w14:paraId="1509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219" w:type="dxa"/>
            <w:vMerge w:val="continue"/>
            <w:noWrap w:val="0"/>
            <w:vAlign w:val="center"/>
          </w:tcPr>
          <w:p w14:paraId="1C2A05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0F46F9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3EE0A32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（2）电器、消防等设施设备：</w:t>
            </w:r>
          </w:p>
          <w:p w14:paraId="587BB4E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①配电箱、设备机房、会议室音视频设备、消防栓及开关插座等保持表面干净，无尘无污迹，每月至少开展1次清洁作业。</w:t>
            </w:r>
          </w:p>
          <w:p w14:paraId="732B3F6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②监控摄像头、门禁系统等表面光亮，无尘、无斑点，每月至少开展1次清洁作业。</w:t>
            </w:r>
          </w:p>
        </w:tc>
      </w:tr>
      <w:tr w14:paraId="5164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C5116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5673AA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67F2579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（3）楼梯及楼梯间保持干净、无异味、无杂物、无积水，每日至少开展1次清洁作业。</w:t>
            </w:r>
          </w:p>
        </w:tc>
      </w:tr>
      <w:tr w14:paraId="56F1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492FD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547219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03B7F79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（4）开水间保持干净、无异味、无杂物、无积水，每日至少开展1次清洁作业。</w:t>
            </w:r>
          </w:p>
        </w:tc>
      </w:tr>
      <w:tr w14:paraId="292C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69EBD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411D89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2180E07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（5）作业工具间：</w:t>
            </w:r>
          </w:p>
          <w:p w14:paraId="00DD8E1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①保持干净，无异味、无杂物、无积水，每日至少开展1次清洁作业。</w:t>
            </w:r>
          </w:p>
          <w:p w14:paraId="4E546B1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②作业工具摆放整齐有序，表面干净无渍，每日消毒。</w:t>
            </w:r>
          </w:p>
        </w:tc>
      </w:tr>
      <w:tr w14:paraId="640D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1261C1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38E0D0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5302C46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（6）公共卫生间：</w:t>
            </w:r>
          </w:p>
          <w:p w14:paraId="774D001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①保持干净，无异味，垃圾无溢出，每日至少开展1次清洁作业。</w:t>
            </w:r>
          </w:p>
          <w:p w14:paraId="64726BC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②及时补充厕纸等必要用品。</w:t>
            </w:r>
          </w:p>
        </w:tc>
      </w:tr>
      <w:tr w14:paraId="49B54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19" w:type="dxa"/>
            <w:vMerge w:val="continue"/>
            <w:noWrap w:val="0"/>
            <w:vAlign w:val="center"/>
          </w:tcPr>
          <w:p w14:paraId="2C9955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74EE7B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0B99CB4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（7）电梯轿厢：</w:t>
            </w:r>
          </w:p>
          <w:p w14:paraId="39B9E8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①保持干净，无污渍、无粘贴物、无异味，每日至少开展1次清洁作业。</w:t>
            </w:r>
          </w:p>
          <w:p w14:paraId="0CF3DC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②灯具、操作指示板明亮。</w:t>
            </w:r>
          </w:p>
        </w:tc>
      </w:tr>
      <w:tr w14:paraId="5C9F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39A86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499C7C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140D3FF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（8）平台、屋顶、天沟保持干净，有杂物及时清扫，每月至少开展1次清洁作业。</w:t>
            </w:r>
          </w:p>
        </w:tc>
      </w:tr>
      <w:tr w14:paraId="3F2CB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ABC73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07026E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79507FB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（9）</w:t>
            </w:r>
            <w:r>
              <w:rPr>
                <w:rFonts w:hint="eastAsia" w:ascii="仿宋" w:hAnsi="仿宋" w:eastAsia="仿宋" w:cs="仿宋"/>
                <w:color w:val="auto"/>
                <w:sz w:val="24"/>
                <w:szCs w:val="24"/>
                <w:highlight w:val="none"/>
                <w:u w:val="none"/>
                <w:lang w:val="en-US" w:eastAsia="zh-CN"/>
              </w:rPr>
              <w:t>石材地面、内墙做好养护工作</w:t>
            </w:r>
            <w:r>
              <w:rPr>
                <w:rFonts w:hint="eastAsia" w:ascii="仿宋" w:hAnsi="仿宋" w:eastAsia="仿宋" w:cs="仿宋"/>
                <w:b w:val="0"/>
                <w:bCs w:val="0"/>
                <w:color w:val="auto"/>
                <w:kern w:val="0"/>
                <w:sz w:val="24"/>
                <w:szCs w:val="24"/>
                <w:highlight w:val="none"/>
                <w:lang w:val="en-US" w:eastAsia="zh-CN"/>
              </w:rPr>
              <w:t>，每季度开展1次清洁作业。（各类材质地面、内墙服务管理标准详见3.4.1）</w:t>
            </w:r>
          </w:p>
        </w:tc>
      </w:tr>
      <w:tr w14:paraId="299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270465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495369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0715306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（10）</w:t>
            </w:r>
            <w:r>
              <w:rPr>
                <w:rFonts w:hint="eastAsia" w:ascii="仿宋" w:hAnsi="仿宋" w:eastAsia="仿宋" w:cs="仿宋"/>
                <w:color w:val="auto"/>
                <w:sz w:val="24"/>
                <w:szCs w:val="24"/>
                <w:highlight w:val="none"/>
                <w:u w:val="none"/>
                <w:lang w:val="en-US" w:eastAsia="zh-CN"/>
              </w:rPr>
              <w:t>地毯干净、无油渍、无污渍、无褪色</w:t>
            </w:r>
            <w:r>
              <w:rPr>
                <w:rFonts w:hint="eastAsia" w:ascii="仿宋" w:hAnsi="仿宋" w:eastAsia="仿宋" w:cs="仿宋"/>
                <w:b w:val="0"/>
                <w:bCs w:val="0"/>
                <w:color w:val="auto"/>
                <w:kern w:val="0"/>
                <w:sz w:val="24"/>
                <w:szCs w:val="24"/>
                <w:highlight w:val="none"/>
                <w:lang w:val="en-US" w:eastAsia="zh-CN"/>
              </w:rPr>
              <w:t>，每月至少开展1次清洁作业。</w:t>
            </w:r>
          </w:p>
        </w:tc>
      </w:tr>
      <w:tr w14:paraId="04F4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7CD652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3372" w:type="dxa"/>
            <w:vMerge w:val="restart"/>
            <w:noWrap w:val="0"/>
            <w:vAlign w:val="center"/>
          </w:tcPr>
          <w:p w14:paraId="4F1E06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公共场地区域保洁</w:t>
            </w:r>
          </w:p>
        </w:tc>
        <w:tc>
          <w:tcPr>
            <w:tcW w:w="9978" w:type="dxa"/>
            <w:noWrap w:val="0"/>
            <w:vAlign w:val="center"/>
          </w:tcPr>
          <w:p w14:paraId="1C9E894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（1）每日清扫道路地面、停车场等公共区域2次，保持干净、无杂物、无积水。</w:t>
            </w:r>
          </w:p>
        </w:tc>
      </w:tr>
      <w:tr w14:paraId="6DFF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026B1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3372" w:type="dxa"/>
            <w:vMerge w:val="continue"/>
            <w:noWrap w:val="0"/>
            <w:vAlign w:val="center"/>
          </w:tcPr>
          <w:p w14:paraId="6E8C7C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4448825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（2）雪、冰冻等恶劣天气时及时清扫积水、积雪，并采取安全防护措施。</w:t>
            </w:r>
          </w:p>
        </w:tc>
      </w:tr>
      <w:tr w14:paraId="6642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AA1FB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3372" w:type="dxa"/>
            <w:vMerge w:val="continue"/>
            <w:noWrap w:val="0"/>
            <w:vAlign w:val="center"/>
          </w:tcPr>
          <w:p w14:paraId="33D39B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584C13A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（3）各种路标、宣传栏等保持干净，每月至少开展1次清洁作业。</w:t>
            </w:r>
          </w:p>
        </w:tc>
      </w:tr>
      <w:tr w14:paraId="6F914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4D9D0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3372" w:type="dxa"/>
            <w:vMerge w:val="continue"/>
            <w:noWrap w:val="0"/>
            <w:vAlign w:val="center"/>
          </w:tcPr>
          <w:p w14:paraId="39244E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7838DBD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（4）清洁室外照明设备，每月至少开展1次清洁作业。</w:t>
            </w:r>
          </w:p>
        </w:tc>
      </w:tr>
      <w:tr w14:paraId="3B5D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421DB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3372" w:type="dxa"/>
            <w:vMerge w:val="continue"/>
            <w:noWrap w:val="0"/>
            <w:vAlign w:val="center"/>
          </w:tcPr>
          <w:p w14:paraId="724921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69008EB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（5）绿地内无杂物、无改变用途和破坏、践踏、占用现象，每天至少开展1次巡查。</w:t>
            </w:r>
          </w:p>
        </w:tc>
      </w:tr>
      <w:tr w14:paraId="32E7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78B1DF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rPr>
            </w:pPr>
          </w:p>
        </w:tc>
        <w:tc>
          <w:tcPr>
            <w:tcW w:w="3372" w:type="dxa"/>
            <w:vMerge w:val="continue"/>
            <w:noWrap w:val="0"/>
            <w:vAlign w:val="center"/>
          </w:tcPr>
          <w:p w14:paraId="3719339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07519BD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w:t>
            </w:r>
            <w:r>
              <w:rPr>
                <w:rFonts w:hint="eastAsia" w:ascii="仿宋" w:hAnsi="仿宋" w:eastAsia="仿宋" w:cs="仿宋"/>
                <w:sz w:val="24"/>
                <w:szCs w:val="24"/>
                <w:highlight w:val="none"/>
              </w:rPr>
              <w:t>办公区外立面</w:t>
            </w:r>
            <w:r>
              <w:rPr>
                <w:rFonts w:hint="eastAsia" w:ascii="仿宋" w:hAnsi="仿宋" w:eastAsia="仿宋" w:cs="仿宋"/>
                <w:color w:val="auto"/>
                <w:sz w:val="24"/>
                <w:szCs w:val="24"/>
                <w:highlight w:val="none"/>
                <w:u w:val="none"/>
                <w:lang w:val="en-US" w:eastAsia="zh-CN"/>
              </w:rPr>
              <w:t>定期</w:t>
            </w:r>
            <w:r>
              <w:rPr>
                <w:rFonts w:hint="eastAsia" w:ascii="仿宋" w:hAnsi="仿宋" w:eastAsia="仿宋" w:cs="仿宋"/>
                <w:sz w:val="24"/>
                <w:szCs w:val="24"/>
                <w:highlight w:val="none"/>
              </w:rPr>
              <w:t>清洗、</w:t>
            </w:r>
            <w:r>
              <w:rPr>
                <w:rFonts w:hint="eastAsia" w:ascii="仿宋" w:hAnsi="仿宋" w:eastAsia="仿宋" w:cs="仿宋"/>
                <w:sz w:val="24"/>
                <w:szCs w:val="24"/>
                <w:highlight w:val="none"/>
                <w:lang w:val="en-US" w:eastAsia="zh-CN"/>
              </w:rPr>
              <w:t>2米以上</w:t>
            </w:r>
            <w:r>
              <w:rPr>
                <w:rFonts w:hint="eastAsia" w:ascii="仿宋" w:hAnsi="仿宋" w:eastAsia="仿宋" w:cs="仿宋"/>
                <w:sz w:val="24"/>
                <w:szCs w:val="24"/>
                <w:highlight w:val="none"/>
              </w:rPr>
              <w:t>外窗玻璃擦拭</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每年</w:t>
            </w:r>
            <w:r>
              <w:rPr>
                <w:rFonts w:hint="eastAsia" w:ascii="仿宋" w:hAnsi="仿宋" w:eastAsia="仿宋" w:cs="仿宋"/>
                <w:b w:val="0"/>
                <w:bCs w:val="0"/>
                <w:color w:val="auto"/>
                <w:kern w:val="0"/>
                <w:sz w:val="24"/>
                <w:szCs w:val="24"/>
                <w:highlight w:val="none"/>
                <w:lang w:val="en-US" w:eastAsia="zh-CN"/>
              </w:rPr>
              <w:t>至少开展</w:t>
            </w:r>
            <w:r>
              <w:rPr>
                <w:rFonts w:hint="eastAsia" w:ascii="仿宋" w:hAnsi="仿宋" w:eastAsia="仿宋" w:cs="仿宋"/>
                <w:sz w:val="24"/>
                <w:szCs w:val="24"/>
                <w:highlight w:val="none"/>
                <w:lang w:val="en-US" w:eastAsia="zh-CN"/>
              </w:rPr>
              <w:t>1次清洗。</w:t>
            </w:r>
            <w:r>
              <w:rPr>
                <w:rFonts w:hint="eastAsia" w:ascii="仿宋" w:hAnsi="仿宋" w:eastAsia="仿宋" w:cs="仿宋"/>
                <w:b w:val="0"/>
                <w:bCs w:val="0"/>
                <w:color w:val="auto"/>
                <w:kern w:val="0"/>
                <w:sz w:val="24"/>
                <w:szCs w:val="24"/>
                <w:highlight w:val="none"/>
                <w:lang w:val="en-US" w:eastAsia="zh-CN"/>
              </w:rPr>
              <w:t>（各类材质外立面服务标准详见3.4.1）</w:t>
            </w:r>
          </w:p>
        </w:tc>
      </w:tr>
      <w:tr w14:paraId="1A05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7509BD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3372" w:type="dxa"/>
            <w:vMerge w:val="restart"/>
            <w:noWrap w:val="0"/>
            <w:vAlign w:val="center"/>
          </w:tcPr>
          <w:p w14:paraId="707715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垃圾处理</w:t>
            </w:r>
          </w:p>
        </w:tc>
        <w:tc>
          <w:tcPr>
            <w:tcW w:w="9978" w:type="dxa"/>
            <w:noWrap w:val="0"/>
            <w:vAlign w:val="center"/>
          </w:tcPr>
          <w:p w14:paraId="1DAFA91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（1）在指定位置摆放分类垃圾桶，并在显著处张贴垃圾分类标识。分类垃圾桶和垃圾分类标识根据所在城市的要求设置。</w:t>
            </w:r>
          </w:p>
        </w:tc>
      </w:tr>
      <w:tr w14:paraId="331E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7345C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21A17D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57187AB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（2）桶身表面干净无污渍，每日开展至少1次清洁作业。</w:t>
            </w:r>
          </w:p>
        </w:tc>
      </w:tr>
      <w:tr w14:paraId="11301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A6A7B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320A8A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474AA02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（3）垃圾中转房保持整洁，无明显异味，每日至少开展1次清洁作业。</w:t>
            </w:r>
          </w:p>
        </w:tc>
      </w:tr>
      <w:tr w14:paraId="43DB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B7465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668B04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6BF897F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（4）化粪池清掏，无明显异味，每半年至少开展1次清洁作业。</w:t>
            </w:r>
          </w:p>
        </w:tc>
      </w:tr>
      <w:tr w14:paraId="1A5B4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042A9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35E9A5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4C98408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（5）</w:t>
            </w:r>
            <w:r>
              <w:rPr>
                <w:rFonts w:hint="eastAsia" w:ascii="仿宋" w:hAnsi="仿宋" w:eastAsia="仿宋" w:cs="仿宋"/>
                <w:color w:val="auto"/>
                <w:sz w:val="24"/>
                <w:szCs w:val="24"/>
                <w:highlight w:val="none"/>
                <w:u w:val="none"/>
                <w:lang w:val="en-US" w:eastAsia="zh-CN"/>
              </w:rPr>
              <w:t>每个工作日内要对楼层产生的垃圾，进行清理分类，并运至垃圾集中堆放点。</w:t>
            </w:r>
          </w:p>
        </w:tc>
      </w:tr>
      <w:tr w14:paraId="2117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0FE10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579F46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6DDB1D6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（6）垃圾装袋，日产日清。</w:t>
            </w:r>
          </w:p>
        </w:tc>
      </w:tr>
      <w:tr w14:paraId="3365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978A5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18FB97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1944187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（7）建立垃圾清运台账，交由规范的渠道回收处理。</w:t>
            </w:r>
          </w:p>
        </w:tc>
      </w:tr>
      <w:tr w14:paraId="0471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E371E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4ABF2B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3D9D70F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val="0"/>
                <w:color w:val="auto"/>
                <w:kern w:val="0"/>
                <w:sz w:val="24"/>
                <w:szCs w:val="24"/>
                <w:highlight w:val="none"/>
                <w:lang w:val="en-US" w:eastAsia="zh-CN"/>
              </w:rPr>
              <w:t xml:space="preserve"> （8）</w:t>
            </w:r>
            <w:r>
              <w:rPr>
                <w:rFonts w:hint="eastAsia" w:ascii="仿宋" w:hAnsi="仿宋" w:eastAsia="仿宋" w:cs="仿宋"/>
                <w:color w:val="auto"/>
                <w:sz w:val="24"/>
                <w:szCs w:val="24"/>
                <w:highlight w:val="none"/>
                <w:u w:val="none"/>
                <w:lang w:val="en-US" w:eastAsia="zh-CN"/>
              </w:rPr>
              <w:t>做好垃圾分类管理的宣传工作，督促并引导全员参与垃圾分类投放。</w:t>
            </w:r>
          </w:p>
        </w:tc>
      </w:tr>
      <w:tr w14:paraId="51074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45D7B1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220BEF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64BCA2E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（9）</w:t>
            </w:r>
            <w:r>
              <w:rPr>
                <w:rFonts w:hint="eastAsia" w:ascii="仿宋" w:hAnsi="仿宋" w:eastAsia="仿宋" w:cs="仿宋"/>
                <w:color w:val="auto"/>
                <w:sz w:val="24"/>
                <w:szCs w:val="24"/>
                <w:highlight w:val="none"/>
                <w:u w:val="none"/>
                <w:lang w:val="en-US" w:eastAsia="zh-CN"/>
              </w:rPr>
              <w:t>垃圾分类投放管理工作的执行标准，按</w:t>
            </w:r>
            <w:r>
              <w:rPr>
                <w:rFonts w:hint="eastAsia" w:ascii="仿宋" w:hAnsi="仿宋" w:eastAsia="仿宋" w:cs="仿宋"/>
                <w:b w:val="0"/>
                <w:bCs w:val="0"/>
                <w:color w:val="auto"/>
                <w:kern w:val="0"/>
                <w:sz w:val="24"/>
                <w:szCs w:val="24"/>
                <w:highlight w:val="none"/>
                <w:lang w:val="en-US" w:eastAsia="zh-CN"/>
              </w:rPr>
              <w:t>所在城市</w:t>
            </w:r>
            <w:r>
              <w:rPr>
                <w:rFonts w:hint="eastAsia" w:ascii="仿宋" w:hAnsi="仿宋" w:eastAsia="仿宋" w:cs="仿宋"/>
                <w:color w:val="auto"/>
                <w:sz w:val="24"/>
                <w:szCs w:val="24"/>
                <w:highlight w:val="none"/>
                <w:u w:val="none"/>
                <w:lang w:val="en-US" w:eastAsia="zh-CN"/>
              </w:rPr>
              <w:t>的要求执行。</w:t>
            </w:r>
          </w:p>
        </w:tc>
      </w:tr>
      <w:tr w14:paraId="0A36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19" w:type="dxa"/>
            <w:vMerge w:val="restart"/>
            <w:noWrap w:val="0"/>
            <w:vAlign w:val="center"/>
          </w:tcPr>
          <w:p w14:paraId="0BEB41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3372" w:type="dxa"/>
            <w:vMerge w:val="restart"/>
            <w:noWrap w:val="0"/>
            <w:vAlign w:val="center"/>
          </w:tcPr>
          <w:p w14:paraId="3164BA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卫生消毒</w:t>
            </w:r>
          </w:p>
        </w:tc>
        <w:tc>
          <w:tcPr>
            <w:tcW w:w="9978" w:type="dxa"/>
            <w:noWrap w:val="0"/>
            <w:vAlign w:val="center"/>
          </w:tcPr>
          <w:p w14:paraId="2937383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（1）办公用房区域、公共场所区域和周围环境预防性卫生消毒，</w:t>
            </w:r>
            <w:r>
              <w:rPr>
                <w:rFonts w:hint="eastAsia" w:ascii="仿宋" w:hAnsi="仿宋" w:eastAsia="仿宋" w:cs="仿宋"/>
                <w:color w:val="auto"/>
                <w:sz w:val="24"/>
                <w:szCs w:val="24"/>
                <w:highlight w:val="none"/>
                <w:u w:val="none"/>
                <w:lang w:val="en-US" w:eastAsia="zh-CN"/>
              </w:rPr>
              <w:t>消毒后及时通风，每周</w:t>
            </w:r>
            <w:r>
              <w:rPr>
                <w:rFonts w:hint="eastAsia" w:ascii="仿宋" w:hAnsi="仿宋" w:eastAsia="仿宋" w:cs="仿宋"/>
                <w:b w:val="0"/>
                <w:bCs w:val="0"/>
                <w:color w:val="auto"/>
                <w:kern w:val="0"/>
                <w:sz w:val="24"/>
                <w:szCs w:val="24"/>
                <w:highlight w:val="none"/>
                <w:lang w:val="en-US" w:eastAsia="zh-CN"/>
              </w:rPr>
              <w:t>至少开展</w:t>
            </w:r>
            <w:r>
              <w:rPr>
                <w:rFonts w:hint="eastAsia" w:ascii="仿宋" w:hAnsi="仿宋" w:eastAsia="仿宋" w:cs="仿宋"/>
                <w:color w:val="auto"/>
                <w:sz w:val="24"/>
                <w:szCs w:val="24"/>
                <w:highlight w:val="none"/>
                <w:u w:val="none"/>
                <w:lang w:val="en-US" w:eastAsia="zh-CN"/>
              </w:rPr>
              <w:t>1次作业。</w:t>
            </w:r>
          </w:p>
        </w:tc>
      </w:tr>
      <w:tr w14:paraId="644C4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19" w:type="dxa"/>
            <w:vMerge w:val="continue"/>
            <w:noWrap w:val="0"/>
            <w:vAlign w:val="center"/>
          </w:tcPr>
          <w:p w14:paraId="2B67C0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08060E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6040006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（2）采取综合措施消灭老鼠、蟑螂，控制室内外蚊虫孳生，达到基本无蝇</w:t>
            </w:r>
            <w:r>
              <w:rPr>
                <w:rFonts w:hint="eastAsia" w:ascii="仿宋" w:hAnsi="仿宋" w:eastAsia="仿宋" w:cs="仿宋"/>
                <w:color w:val="auto"/>
                <w:sz w:val="24"/>
                <w:szCs w:val="24"/>
                <w:highlight w:val="none"/>
                <w:u w:val="none"/>
                <w:lang w:val="en-US" w:eastAsia="zh-CN"/>
              </w:rPr>
              <w:t>，每季度</w:t>
            </w:r>
            <w:r>
              <w:rPr>
                <w:rFonts w:hint="eastAsia" w:ascii="仿宋" w:hAnsi="仿宋" w:eastAsia="仿宋" w:cs="仿宋"/>
                <w:b w:val="0"/>
                <w:bCs w:val="0"/>
                <w:color w:val="auto"/>
                <w:kern w:val="0"/>
                <w:sz w:val="24"/>
                <w:szCs w:val="24"/>
                <w:highlight w:val="none"/>
                <w:lang w:val="en-US" w:eastAsia="zh-CN"/>
              </w:rPr>
              <w:t>至少开展</w:t>
            </w:r>
            <w:r>
              <w:rPr>
                <w:rFonts w:hint="eastAsia" w:ascii="仿宋" w:hAnsi="仿宋" w:eastAsia="仿宋" w:cs="仿宋"/>
                <w:color w:val="auto"/>
                <w:sz w:val="24"/>
                <w:szCs w:val="24"/>
                <w:highlight w:val="none"/>
                <w:u w:val="none"/>
                <w:lang w:val="en-US" w:eastAsia="zh-CN"/>
              </w:rPr>
              <w:t>1次作业。</w:t>
            </w:r>
          </w:p>
        </w:tc>
      </w:tr>
      <w:tr w14:paraId="4549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2EB1A9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72" w:type="dxa"/>
            <w:vMerge w:val="continue"/>
            <w:noWrap w:val="0"/>
            <w:vAlign w:val="center"/>
          </w:tcPr>
          <w:p w14:paraId="7741FC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978" w:type="dxa"/>
            <w:noWrap w:val="0"/>
            <w:vAlign w:val="center"/>
          </w:tcPr>
          <w:p w14:paraId="0732075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（3）发生公共卫生事件时，邀请专业单位开展消毒、检测等工作。</w:t>
            </w:r>
          </w:p>
        </w:tc>
      </w:tr>
    </w:tbl>
    <w:p w14:paraId="38A11478">
      <w:pPr>
        <w:pStyle w:val="3"/>
        <w:bidi w:val="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3.4.1具体清洁要求</w:t>
      </w:r>
    </w:p>
    <w:tbl>
      <w:tblPr>
        <w:tblStyle w:val="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998"/>
        <w:gridCol w:w="5649"/>
      </w:tblGrid>
      <w:tr w14:paraId="29B6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B16CCE1">
            <w:pPr>
              <w:jc w:val="center"/>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3368" w:type="dxa"/>
            <w:noWrap w:val="0"/>
            <w:vAlign w:val="center"/>
          </w:tcPr>
          <w:p w14:paraId="0C684247">
            <w:pPr>
              <w:jc w:val="center"/>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材质</w:t>
            </w:r>
          </w:p>
        </w:tc>
        <w:tc>
          <w:tcPr>
            <w:tcW w:w="9947" w:type="dxa"/>
            <w:noWrap w:val="0"/>
            <w:vAlign w:val="center"/>
          </w:tcPr>
          <w:p w14:paraId="3FFC568C">
            <w:pPr>
              <w:jc w:val="center"/>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清洁要求</w:t>
            </w:r>
          </w:p>
        </w:tc>
      </w:tr>
      <w:tr w14:paraId="4EFE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1F7DEDC">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3368" w:type="dxa"/>
            <w:vMerge w:val="restart"/>
            <w:noWrap w:val="0"/>
            <w:vAlign w:val="center"/>
          </w:tcPr>
          <w:p w14:paraId="0956D2B6">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环氧地坪地面</w:t>
            </w:r>
          </w:p>
        </w:tc>
        <w:tc>
          <w:tcPr>
            <w:tcW w:w="9947" w:type="dxa"/>
            <w:noWrap w:val="0"/>
            <w:vAlign w:val="center"/>
          </w:tcPr>
          <w:p w14:paraId="0AD57F9E">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vertAlign w:val="baseline"/>
                <w:lang w:val="en-US" w:eastAsia="zh-CN"/>
              </w:rPr>
              <w:t>清理垃圾：清理地面上的垃圾和杂物。</w:t>
            </w:r>
          </w:p>
        </w:tc>
      </w:tr>
      <w:tr w14:paraId="4ACD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12E7256">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38128B5E">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274FD4E1">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3775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D99F0A5">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62CFC898">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2DB35459">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（3）</w:t>
            </w:r>
            <w:r>
              <w:rPr>
                <w:rFonts w:hint="eastAsia" w:ascii="仿宋" w:hAnsi="仿宋" w:eastAsia="仿宋" w:cs="仿宋"/>
                <w:sz w:val="24"/>
                <w:szCs w:val="24"/>
                <w:highlight w:val="none"/>
                <w:vertAlign w:val="baseline"/>
                <w:lang w:val="en-US" w:eastAsia="zh-CN"/>
              </w:rPr>
              <w:t>滚刷或颗粒机进行深层清洗：对于顽固沉积物，需要使用滚刷或颗粒机进行深层清洗。</w:t>
            </w:r>
          </w:p>
        </w:tc>
      </w:tr>
      <w:tr w14:paraId="201C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358FAD9">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6EE18507">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03F507BB">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（4）</w:t>
            </w:r>
            <w:r>
              <w:rPr>
                <w:rFonts w:hint="eastAsia" w:ascii="仿宋" w:hAnsi="仿宋" w:eastAsia="仿宋" w:cs="仿宋"/>
                <w:sz w:val="24"/>
                <w:szCs w:val="24"/>
                <w:highlight w:val="none"/>
                <w:vertAlign w:val="baseline"/>
                <w:lang w:val="en-US" w:eastAsia="zh-CN"/>
              </w:rPr>
              <w:t>浸泡：将清洁剂或去污剂浸泡在环氧地坪上，加强去除污渍的效果。</w:t>
            </w:r>
          </w:p>
        </w:tc>
      </w:tr>
      <w:tr w14:paraId="2BB8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2A56980">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54120541">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7A0D5241">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（5）</w:t>
            </w:r>
            <w:r>
              <w:rPr>
                <w:rFonts w:hint="eastAsia" w:ascii="仿宋" w:hAnsi="仿宋" w:eastAsia="仿宋" w:cs="仿宋"/>
                <w:sz w:val="24"/>
                <w:szCs w:val="24"/>
                <w:highlight w:val="none"/>
                <w:vertAlign w:val="baseline"/>
                <w:lang w:val="en-US" w:eastAsia="zh-CN"/>
              </w:rPr>
              <w:t>冲洗：用清水将地面冲洗干净，以去除残留的清洁剂或去污剂。</w:t>
            </w:r>
          </w:p>
        </w:tc>
      </w:tr>
      <w:tr w14:paraId="04B47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10002A96">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3368" w:type="dxa"/>
            <w:vMerge w:val="restart"/>
            <w:noWrap w:val="0"/>
            <w:vAlign w:val="center"/>
          </w:tcPr>
          <w:p w14:paraId="58721FE8">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耐磨漆地面</w:t>
            </w:r>
          </w:p>
        </w:tc>
        <w:tc>
          <w:tcPr>
            <w:tcW w:w="9947" w:type="dxa"/>
            <w:noWrap w:val="0"/>
            <w:vAlign w:val="center"/>
          </w:tcPr>
          <w:p w14:paraId="35DAFA77">
            <w:pPr>
              <w:jc w:val="both"/>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rPr>
              <w:t>日常清洁：使用软质拖把或地板清洁机，配合清水和中性清洁剂进行清洁。避免使用酸性或碱性清洁剂，以免损坏地面表面。定期清理地面上的污渍和杂物，保持地面干净整洁。</w:t>
            </w:r>
          </w:p>
        </w:tc>
      </w:tr>
      <w:tr w14:paraId="7C3F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51BA1E0">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1A0A67DA">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6868871F">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rPr>
              <w:t>打蜡：为了增加耐磨地面的光亮度和耐磨性，可以进行打蜡处理。使用适合聚氨酯地面的蜡进行均匀涂抹，待蜡干燥后使用抛光机或拖把清理地面，使其变得光滑而有光泽。</w:t>
            </w:r>
          </w:p>
        </w:tc>
      </w:tr>
      <w:tr w14:paraId="591C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C60D36D">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3368" w:type="dxa"/>
            <w:vMerge w:val="restart"/>
            <w:noWrap w:val="0"/>
            <w:vAlign w:val="center"/>
          </w:tcPr>
          <w:p w14:paraId="70D6159D">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瓷砖地面</w:t>
            </w:r>
          </w:p>
        </w:tc>
        <w:tc>
          <w:tcPr>
            <w:tcW w:w="9947" w:type="dxa"/>
            <w:noWrap w:val="0"/>
            <w:vAlign w:val="center"/>
          </w:tcPr>
          <w:p w14:paraId="11FBB275">
            <w:pPr>
              <w:jc w:val="both"/>
              <w:rPr>
                <w:rFonts w:hint="eastAsia" w:ascii="仿宋" w:hAnsi="仿宋" w:eastAsia="仿宋" w:cs="仿宋"/>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rPr>
              <w:t>日常清洁：</w:t>
            </w:r>
            <w:r>
              <w:rPr>
                <w:rFonts w:hint="eastAsia" w:ascii="仿宋" w:hAnsi="仿宋" w:eastAsia="仿宋" w:cs="仿宋"/>
                <w:sz w:val="24"/>
                <w:szCs w:val="24"/>
                <w:highlight w:val="none"/>
                <w:lang w:val="en-US" w:eastAsia="zh-CN"/>
              </w:rPr>
              <w:t>推尘，保持地面干净无杂物。</w:t>
            </w:r>
          </w:p>
        </w:tc>
      </w:tr>
      <w:tr w14:paraId="3E4D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8C7821A">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3FAB6007">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561FE8CA">
            <w:pPr>
              <w:jc w:val="both"/>
              <w:rPr>
                <w:rFonts w:hint="eastAsia" w:ascii="仿宋" w:hAnsi="仿宋" w:eastAsia="仿宋" w:cs="仿宋"/>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lang w:val="en-US" w:eastAsia="zh-CN"/>
              </w:rPr>
              <w:t>深度清洁：使用洗洁精或肥皂水清理。</w:t>
            </w:r>
          </w:p>
        </w:tc>
      </w:tr>
      <w:tr w14:paraId="7330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091DEAA">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3368" w:type="dxa"/>
            <w:vMerge w:val="restart"/>
            <w:noWrap w:val="0"/>
            <w:vAlign w:val="center"/>
          </w:tcPr>
          <w:p w14:paraId="740BD68A">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石材地面</w:t>
            </w:r>
          </w:p>
        </w:tc>
        <w:tc>
          <w:tcPr>
            <w:tcW w:w="9947" w:type="dxa"/>
            <w:noWrap w:val="0"/>
            <w:vAlign w:val="center"/>
          </w:tcPr>
          <w:p w14:paraId="0EA5DFB2">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vertAlign w:val="baseline"/>
                <w:lang w:val="en-US" w:eastAsia="zh-CN"/>
              </w:rPr>
              <w:t>根据各区域的人流量及大理石的实际磨损程度制定大理石的晶面保养计划。</w:t>
            </w:r>
          </w:p>
        </w:tc>
      </w:tr>
      <w:tr w14:paraId="6193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1D234ED">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5FB758AC">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44E30B54">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（2）启动晶面机，使用中性清洁剂清洁，避免使用强酸或强碱清洁剂，定期进行基础维护。</w:t>
            </w:r>
          </w:p>
        </w:tc>
      </w:tr>
      <w:tr w14:paraId="1333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F0056B3">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3368" w:type="dxa"/>
            <w:vMerge w:val="restart"/>
            <w:noWrap w:val="0"/>
            <w:vAlign w:val="center"/>
          </w:tcPr>
          <w:p w14:paraId="27767FB4">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水磨石地面</w:t>
            </w:r>
          </w:p>
        </w:tc>
        <w:tc>
          <w:tcPr>
            <w:tcW w:w="9947" w:type="dxa"/>
            <w:noWrap w:val="0"/>
            <w:vAlign w:val="center"/>
          </w:tcPr>
          <w:p w14:paraId="5821BAE1">
            <w:pPr>
              <w:jc w:val="both"/>
              <w:rPr>
                <w:rFonts w:hint="eastAsia" w:ascii="仿宋" w:hAnsi="仿宋" w:eastAsia="仿宋" w:cs="仿宋"/>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rPr>
              <w:t>日常清洁：</w:t>
            </w:r>
            <w:r>
              <w:rPr>
                <w:rFonts w:hint="eastAsia" w:ascii="仿宋" w:hAnsi="仿宋" w:eastAsia="仿宋" w:cs="仿宋"/>
                <w:sz w:val="24"/>
                <w:szCs w:val="24"/>
                <w:highlight w:val="none"/>
                <w:lang w:val="en-US" w:eastAsia="zh-CN"/>
              </w:rPr>
              <w:t>推尘，保持地面干净无杂物。</w:t>
            </w:r>
          </w:p>
        </w:tc>
      </w:tr>
      <w:tr w14:paraId="24260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73B2053">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7D0531E8">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13945FA6">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lang w:val="en-US" w:eastAsia="zh-CN"/>
              </w:rPr>
              <w:t>深度清洁：使用洗洁精或肥皂水清理。</w:t>
            </w:r>
          </w:p>
        </w:tc>
      </w:tr>
      <w:tr w14:paraId="7C3B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2CE2C3A0">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3368" w:type="dxa"/>
            <w:vMerge w:val="restart"/>
            <w:noWrap w:val="0"/>
            <w:vAlign w:val="center"/>
          </w:tcPr>
          <w:p w14:paraId="3B54E289">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地胶板地面</w:t>
            </w:r>
          </w:p>
        </w:tc>
        <w:tc>
          <w:tcPr>
            <w:tcW w:w="9947" w:type="dxa"/>
            <w:noWrap w:val="0"/>
            <w:vAlign w:val="center"/>
          </w:tcPr>
          <w:p w14:paraId="65093BFB">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vertAlign w:val="baseline"/>
                <w:lang w:val="en-US" w:eastAsia="zh-CN"/>
              </w:rPr>
              <w:t>定期保养。使用中性清洁剂清洁，避免使用强酸或强碱清洁剂，定期进行基础维护。</w:t>
            </w:r>
          </w:p>
        </w:tc>
      </w:tr>
      <w:tr w14:paraId="4B9B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5BF751F">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45FCA85C">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11429009">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vertAlign w:val="baseline"/>
                <w:lang w:val="en-US" w:eastAsia="zh-CN"/>
              </w:rPr>
              <w:t>日常维护。使用湿润的拖把清洁，污染严重时局部清洁，每月对地胶板地面进行打蜡处理。</w:t>
            </w:r>
          </w:p>
        </w:tc>
      </w:tr>
      <w:tr w14:paraId="17B5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4DAE4CE">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3368" w:type="dxa"/>
            <w:vMerge w:val="restart"/>
            <w:noWrap w:val="0"/>
            <w:vAlign w:val="center"/>
          </w:tcPr>
          <w:p w14:paraId="505F7F17">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地板地面</w:t>
            </w:r>
          </w:p>
        </w:tc>
        <w:tc>
          <w:tcPr>
            <w:tcW w:w="9947" w:type="dxa"/>
            <w:noWrap w:val="0"/>
            <w:vAlign w:val="center"/>
          </w:tcPr>
          <w:p w14:paraId="2E920ED7">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vertAlign w:val="baseline"/>
                <w:lang w:val="en-US" w:eastAsia="zh-CN"/>
              </w:rPr>
              <w:t>定期保养。使用中性清洁剂清洁，避免使用强酸或强碱清洁剂，定期进行基础维护。</w:t>
            </w:r>
          </w:p>
        </w:tc>
      </w:tr>
      <w:tr w14:paraId="1010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D3D4E72">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11828C83">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546F4417">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vertAlign w:val="baseline"/>
                <w:lang w:val="en-US" w:eastAsia="zh-CN"/>
              </w:rPr>
              <w:t>日常维护。使用湿润的拖把清洁，污染严重时局部清洁，每月对地板进行打蜡处理。</w:t>
            </w:r>
          </w:p>
        </w:tc>
      </w:tr>
      <w:tr w14:paraId="7D73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D72D054">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w:t>
            </w:r>
          </w:p>
        </w:tc>
        <w:tc>
          <w:tcPr>
            <w:tcW w:w="3368" w:type="dxa"/>
            <w:vMerge w:val="restart"/>
            <w:noWrap w:val="0"/>
            <w:vAlign w:val="center"/>
          </w:tcPr>
          <w:p w14:paraId="49A0413F">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地毯地面</w:t>
            </w:r>
          </w:p>
        </w:tc>
        <w:tc>
          <w:tcPr>
            <w:tcW w:w="9947" w:type="dxa"/>
            <w:noWrap w:val="0"/>
            <w:vAlign w:val="center"/>
          </w:tcPr>
          <w:p w14:paraId="611399D9">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sz w:val="24"/>
                <w:szCs w:val="24"/>
                <w:highlight w:val="none"/>
                <w:vertAlign w:val="baseline"/>
                <w:lang w:val="en-US" w:eastAsia="zh-CN"/>
              </w:rPr>
              <w:t>日常用吸尘机除尘，局部脏污用湿布配中性清洁液重点清洁。</w:t>
            </w:r>
          </w:p>
        </w:tc>
      </w:tr>
      <w:tr w14:paraId="0D3E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D0B3455">
            <w:pPr>
              <w:jc w:val="center"/>
              <w:rPr>
                <w:rFonts w:hint="eastAsia" w:ascii="仿宋" w:hAnsi="仿宋" w:eastAsia="仿宋" w:cs="仿宋"/>
                <w:sz w:val="24"/>
                <w:szCs w:val="24"/>
                <w:highlight w:val="none"/>
                <w:vertAlign w:val="baseline"/>
                <w:lang w:val="en-US" w:eastAsia="zh-CN"/>
              </w:rPr>
            </w:pPr>
          </w:p>
        </w:tc>
        <w:tc>
          <w:tcPr>
            <w:tcW w:w="3368" w:type="dxa"/>
            <w:vMerge w:val="continue"/>
            <w:noWrap w:val="0"/>
            <w:vAlign w:val="center"/>
          </w:tcPr>
          <w:p w14:paraId="5B2061C6">
            <w:pPr>
              <w:jc w:val="both"/>
              <w:rPr>
                <w:rFonts w:hint="eastAsia" w:ascii="仿宋" w:hAnsi="仿宋" w:eastAsia="仿宋" w:cs="仿宋"/>
                <w:sz w:val="24"/>
                <w:szCs w:val="24"/>
                <w:highlight w:val="none"/>
                <w:vertAlign w:val="baseline"/>
                <w:lang w:val="en-US" w:eastAsia="zh-CN"/>
              </w:rPr>
            </w:pPr>
          </w:p>
        </w:tc>
        <w:tc>
          <w:tcPr>
            <w:tcW w:w="9947" w:type="dxa"/>
            <w:noWrap w:val="0"/>
            <w:vAlign w:val="center"/>
          </w:tcPr>
          <w:p w14:paraId="0887C6AD">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rPr>
              <w:t xml:space="preserve"> （2）</w:t>
            </w:r>
            <w:r>
              <w:rPr>
                <w:rFonts w:hint="eastAsia" w:ascii="仿宋" w:hAnsi="仿宋" w:eastAsia="仿宋" w:cs="仿宋"/>
                <w:sz w:val="24"/>
                <w:szCs w:val="24"/>
                <w:highlight w:val="none"/>
                <w:vertAlign w:val="baseline"/>
                <w:lang w:val="en-US" w:eastAsia="zh-CN"/>
              </w:rPr>
              <w:t>用地毯清洗机进行整体清洗，除螨。</w:t>
            </w:r>
          </w:p>
        </w:tc>
      </w:tr>
      <w:tr w14:paraId="75C9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B99DB37">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9</w:t>
            </w:r>
          </w:p>
        </w:tc>
        <w:tc>
          <w:tcPr>
            <w:tcW w:w="3368" w:type="dxa"/>
            <w:noWrap w:val="0"/>
            <w:vAlign w:val="center"/>
          </w:tcPr>
          <w:p w14:paraId="44929E0B">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乳胶漆内墙</w:t>
            </w:r>
          </w:p>
        </w:tc>
        <w:tc>
          <w:tcPr>
            <w:tcW w:w="9947" w:type="dxa"/>
            <w:noWrap w:val="0"/>
            <w:vAlign w:val="center"/>
          </w:tcPr>
          <w:p w14:paraId="209734D3">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有污渍时用半干布擦拭。</w:t>
            </w:r>
          </w:p>
        </w:tc>
      </w:tr>
      <w:tr w14:paraId="5C24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6BC99A4">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10</w:t>
            </w:r>
          </w:p>
        </w:tc>
        <w:tc>
          <w:tcPr>
            <w:tcW w:w="3368" w:type="dxa"/>
            <w:noWrap w:val="0"/>
            <w:vAlign w:val="center"/>
          </w:tcPr>
          <w:p w14:paraId="2F3DD9C4">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墙纸内墙</w:t>
            </w:r>
          </w:p>
        </w:tc>
        <w:tc>
          <w:tcPr>
            <w:tcW w:w="9947" w:type="dxa"/>
            <w:noWrap w:val="0"/>
            <w:vAlign w:val="center"/>
          </w:tcPr>
          <w:p w14:paraId="0A5B9F1E">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有污渍时用半干布擦拭。</w:t>
            </w:r>
          </w:p>
        </w:tc>
      </w:tr>
      <w:tr w14:paraId="6434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6BD2826">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11</w:t>
            </w:r>
          </w:p>
        </w:tc>
        <w:tc>
          <w:tcPr>
            <w:tcW w:w="3368" w:type="dxa"/>
            <w:noWrap w:val="0"/>
            <w:vAlign w:val="center"/>
          </w:tcPr>
          <w:p w14:paraId="1DB4689A">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木饰面内墙</w:t>
            </w:r>
          </w:p>
        </w:tc>
        <w:tc>
          <w:tcPr>
            <w:tcW w:w="9947" w:type="dxa"/>
            <w:noWrap w:val="0"/>
            <w:vAlign w:val="center"/>
          </w:tcPr>
          <w:p w14:paraId="7DC3A15A">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有污渍时用中性清洁剂、半干布擦拭。</w:t>
            </w:r>
          </w:p>
        </w:tc>
      </w:tr>
      <w:tr w14:paraId="6D22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38E33A2">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12</w:t>
            </w:r>
          </w:p>
        </w:tc>
        <w:tc>
          <w:tcPr>
            <w:tcW w:w="3368" w:type="dxa"/>
            <w:noWrap w:val="0"/>
            <w:vAlign w:val="center"/>
          </w:tcPr>
          <w:p w14:paraId="1674C17A">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石材内墙</w:t>
            </w:r>
          </w:p>
        </w:tc>
        <w:tc>
          <w:tcPr>
            <w:tcW w:w="9947" w:type="dxa"/>
            <w:noWrap w:val="0"/>
            <w:vAlign w:val="center"/>
          </w:tcPr>
          <w:p w14:paraId="5CA42777">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有污渍时用半干布擦拭。</w:t>
            </w:r>
          </w:p>
        </w:tc>
      </w:tr>
      <w:tr w14:paraId="59BC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672C721">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w:t>
            </w:r>
          </w:p>
        </w:tc>
        <w:tc>
          <w:tcPr>
            <w:tcW w:w="3368" w:type="dxa"/>
            <w:noWrap w:val="0"/>
            <w:vAlign w:val="center"/>
          </w:tcPr>
          <w:p w14:paraId="45F12699">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金属板内墙</w:t>
            </w:r>
          </w:p>
        </w:tc>
        <w:tc>
          <w:tcPr>
            <w:tcW w:w="9947" w:type="dxa"/>
            <w:noWrap w:val="0"/>
            <w:vAlign w:val="center"/>
          </w:tcPr>
          <w:p w14:paraId="13BB7E82">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有污渍时用半干布擦拭。</w:t>
            </w:r>
          </w:p>
        </w:tc>
      </w:tr>
      <w:tr w14:paraId="74A7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B078A37">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w:t>
            </w:r>
          </w:p>
        </w:tc>
        <w:tc>
          <w:tcPr>
            <w:tcW w:w="3368" w:type="dxa"/>
            <w:noWrap w:val="0"/>
            <w:vAlign w:val="center"/>
          </w:tcPr>
          <w:p w14:paraId="08D8051D">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涂料外墙</w:t>
            </w:r>
          </w:p>
        </w:tc>
        <w:tc>
          <w:tcPr>
            <w:tcW w:w="9947" w:type="dxa"/>
            <w:noWrap w:val="0"/>
            <w:vAlign w:val="center"/>
          </w:tcPr>
          <w:p w14:paraId="4C35E03E">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r w14:paraId="346D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6D70B78">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w:t>
            </w:r>
          </w:p>
        </w:tc>
        <w:tc>
          <w:tcPr>
            <w:tcW w:w="3368" w:type="dxa"/>
            <w:noWrap w:val="0"/>
            <w:vAlign w:val="center"/>
          </w:tcPr>
          <w:p w14:paraId="512294CE">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真石漆外墙</w:t>
            </w:r>
          </w:p>
        </w:tc>
        <w:tc>
          <w:tcPr>
            <w:tcW w:w="9947" w:type="dxa"/>
            <w:noWrap w:val="0"/>
            <w:vAlign w:val="center"/>
          </w:tcPr>
          <w:p w14:paraId="30F91D29">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r w14:paraId="4A78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E56AB80">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16</w:t>
            </w:r>
          </w:p>
        </w:tc>
        <w:tc>
          <w:tcPr>
            <w:tcW w:w="3368" w:type="dxa"/>
            <w:noWrap w:val="0"/>
            <w:vAlign w:val="center"/>
          </w:tcPr>
          <w:p w14:paraId="2C15FD7B">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瓷砖外墙</w:t>
            </w:r>
          </w:p>
        </w:tc>
        <w:tc>
          <w:tcPr>
            <w:tcW w:w="9947" w:type="dxa"/>
            <w:noWrap w:val="0"/>
            <w:vAlign w:val="center"/>
          </w:tcPr>
          <w:p w14:paraId="63CDC3EF">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r w14:paraId="4CC2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5864A2C">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17</w:t>
            </w:r>
          </w:p>
        </w:tc>
        <w:tc>
          <w:tcPr>
            <w:tcW w:w="3368" w:type="dxa"/>
            <w:noWrap w:val="0"/>
            <w:vAlign w:val="center"/>
          </w:tcPr>
          <w:p w14:paraId="44781AC9">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保温一体板外墙</w:t>
            </w:r>
          </w:p>
        </w:tc>
        <w:tc>
          <w:tcPr>
            <w:tcW w:w="9947" w:type="dxa"/>
            <w:noWrap w:val="0"/>
            <w:vAlign w:val="center"/>
          </w:tcPr>
          <w:p w14:paraId="1C246088">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r w14:paraId="4A47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99C945B">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18</w:t>
            </w:r>
          </w:p>
        </w:tc>
        <w:tc>
          <w:tcPr>
            <w:tcW w:w="3368" w:type="dxa"/>
            <w:noWrap w:val="0"/>
            <w:vAlign w:val="center"/>
          </w:tcPr>
          <w:p w14:paraId="5FC9878D">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铝板外墙</w:t>
            </w:r>
          </w:p>
        </w:tc>
        <w:tc>
          <w:tcPr>
            <w:tcW w:w="9947" w:type="dxa"/>
            <w:noWrap w:val="0"/>
            <w:vAlign w:val="center"/>
          </w:tcPr>
          <w:p w14:paraId="0599AF4F">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r w14:paraId="71EA1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4986334">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19</w:t>
            </w:r>
          </w:p>
        </w:tc>
        <w:tc>
          <w:tcPr>
            <w:tcW w:w="3368" w:type="dxa"/>
            <w:noWrap w:val="0"/>
            <w:vAlign w:val="center"/>
          </w:tcPr>
          <w:p w14:paraId="56FE46A7">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干挂石材外墙</w:t>
            </w:r>
          </w:p>
        </w:tc>
        <w:tc>
          <w:tcPr>
            <w:tcW w:w="9947" w:type="dxa"/>
            <w:noWrap w:val="0"/>
            <w:vAlign w:val="center"/>
          </w:tcPr>
          <w:p w14:paraId="5CB520D1">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r w14:paraId="705B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1226A2C">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20</w:t>
            </w:r>
          </w:p>
        </w:tc>
        <w:tc>
          <w:tcPr>
            <w:tcW w:w="3368" w:type="dxa"/>
            <w:noWrap w:val="0"/>
            <w:vAlign w:val="center"/>
          </w:tcPr>
          <w:p w14:paraId="2E1275B2">
            <w:pPr>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玻璃幕墙外墙</w:t>
            </w:r>
          </w:p>
        </w:tc>
        <w:tc>
          <w:tcPr>
            <w:tcW w:w="9947" w:type="dxa"/>
            <w:noWrap w:val="0"/>
            <w:vAlign w:val="center"/>
          </w:tcPr>
          <w:p w14:paraId="15E000B2">
            <w:pPr>
              <w:ind w:firstLine="240" w:firstLineChars="10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定期专业清洗。</w:t>
            </w:r>
          </w:p>
        </w:tc>
      </w:tr>
    </w:tbl>
    <w:p w14:paraId="2C272A78">
      <w:pPr>
        <w:pStyle w:val="3"/>
        <w:bidi w:val="0"/>
        <w:jc w:val="both"/>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3.5绿化服务</w:t>
      </w:r>
    </w:p>
    <w:tbl>
      <w:tblPr>
        <w:tblStyle w:val="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1"/>
        <w:gridCol w:w="5815"/>
      </w:tblGrid>
      <w:tr w14:paraId="2CF4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noWrap w:val="0"/>
            <w:vAlign w:val="center"/>
          </w:tcPr>
          <w:p w14:paraId="4C16DCAD">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3369" w:type="dxa"/>
            <w:noWrap w:val="0"/>
            <w:vAlign w:val="center"/>
          </w:tcPr>
          <w:p w14:paraId="58C20755">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9934" w:type="dxa"/>
            <w:noWrap w:val="0"/>
            <w:vAlign w:val="center"/>
          </w:tcPr>
          <w:p w14:paraId="642A025D">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4E86A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7CF565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3369" w:type="dxa"/>
            <w:vMerge w:val="restart"/>
            <w:noWrap w:val="0"/>
            <w:vAlign w:val="center"/>
          </w:tcPr>
          <w:p w14:paraId="2AD783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基本要求</w:t>
            </w:r>
          </w:p>
        </w:tc>
        <w:tc>
          <w:tcPr>
            <w:tcW w:w="9934" w:type="dxa"/>
            <w:noWrap w:val="0"/>
            <w:vAlign w:val="center"/>
          </w:tcPr>
          <w:p w14:paraId="5F9175C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（1）制定绿化服务的工作制度及工作计划，并按照执行。</w:t>
            </w:r>
          </w:p>
        </w:tc>
      </w:tr>
      <w:tr w14:paraId="26488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EEF23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51AC88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304981C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（2）做好绿化服务工作记录，填写规范。</w:t>
            </w:r>
          </w:p>
        </w:tc>
      </w:tr>
      <w:tr w14:paraId="634F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61D1E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2DEA60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7E5C8E6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（3）作业时采取安全防护措施，防止对作业人员或他人造成伤害。</w:t>
            </w:r>
          </w:p>
        </w:tc>
      </w:tr>
      <w:tr w14:paraId="6CF1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330C5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5CDEAA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kern w:val="2"/>
                <w:sz w:val="24"/>
                <w:szCs w:val="24"/>
                <w:highlight w:val="none"/>
                <w:lang w:val="en-US" w:eastAsia="zh-CN" w:bidi="ar-SA"/>
              </w:rPr>
            </w:pPr>
          </w:p>
        </w:tc>
        <w:tc>
          <w:tcPr>
            <w:tcW w:w="9934" w:type="dxa"/>
            <w:noWrap w:val="0"/>
            <w:vAlign w:val="center"/>
          </w:tcPr>
          <w:p w14:paraId="31A4455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（4）相关耗材的环保、安全性应当符合规定要求。</w:t>
            </w:r>
          </w:p>
        </w:tc>
      </w:tr>
      <w:tr w14:paraId="47AE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5BBCE7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3369" w:type="dxa"/>
            <w:vMerge w:val="restart"/>
            <w:noWrap w:val="0"/>
            <w:vAlign w:val="center"/>
          </w:tcPr>
          <w:p w14:paraId="1F7BD8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室外绿化养护</w:t>
            </w:r>
          </w:p>
        </w:tc>
        <w:tc>
          <w:tcPr>
            <w:tcW w:w="9934" w:type="dxa"/>
            <w:noWrap w:val="0"/>
            <w:vAlign w:val="center"/>
          </w:tcPr>
          <w:p w14:paraId="024D22E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w:t>
            </w:r>
            <w:r>
              <w:rPr>
                <w:rFonts w:hint="eastAsia" w:ascii="仿宋" w:hAnsi="仿宋" w:eastAsia="仿宋" w:cs="仿宋"/>
                <w:color w:val="auto"/>
                <w:sz w:val="24"/>
                <w:szCs w:val="24"/>
                <w:highlight w:val="none"/>
                <w:u w:val="none"/>
                <w:lang w:val="en-US" w:eastAsia="zh-CN"/>
              </w:rPr>
              <w:t>根据生长环境、植物特性进行除草、灌溉、施肥、整形修剪、防治病虫害等。</w:t>
            </w:r>
          </w:p>
        </w:tc>
      </w:tr>
      <w:tr w14:paraId="119C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77DE6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2D8BCA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03AD344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（2）根据生长情况修剪绿地，绿地内无枯草、无杂物，</w:t>
            </w:r>
            <w:r>
              <w:rPr>
                <w:rFonts w:hint="eastAsia" w:ascii="仿宋" w:hAnsi="仿宋" w:eastAsia="仿宋" w:cs="仿宋"/>
                <w:color w:val="auto"/>
                <w:sz w:val="24"/>
                <w:szCs w:val="24"/>
                <w:highlight w:val="none"/>
                <w:u w:val="none"/>
                <w:lang w:val="en-US" w:eastAsia="zh-CN"/>
              </w:rPr>
              <w:t>无干枯坏死和病虫侵害，基本无裸露土地。</w:t>
            </w:r>
          </w:p>
        </w:tc>
      </w:tr>
      <w:tr w14:paraId="0B6A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FAD12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3EACCE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7798628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（3）定期修剪树木、花卉等，</w:t>
            </w:r>
            <w:r>
              <w:rPr>
                <w:rFonts w:hint="eastAsia" w:ascii="仿宋" w:hAnsi="仿宋" w:eastAsia="仿宋" w:cs="仿宋"/>
                <w:color w:val="auto"/>
                <w:sz w:val="24"/>
                <w:szCs w:val="24"/>
                <w:highlight w:val="none"/>
                <w:u w:val="none"/>
                <w:lang w:val="en-US" w:eastAsia="zh-CN"/>
              </w:rPr>
              <w:t>灌乔木生长正常、造型美观自然、花枝新鲜，无枯叶、无病虫、无死树缺株。</w:t>
            </w:r>
          </w:p>
        </w:tc>
      </w:tr>
      <w:tr w14:paraId="4803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1379B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6B0E5E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7CDC1D6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w:t>
            </w:r>
            <w:r>
              <w:rPr>
                <w:rFonts w:hint="eastAsia" w:ascii="仿宋" w:hAnsi="仿宋" w:eastAsia="仿宋" w:cs="仿宋"/>
                <w:color w:val="auto"/>
                <w:sz w:val="24"/>
                <w:szCs w:val="24"/>
                <w:highlight w:val="none"/>
                <w:u w:val="none"/>
                <w:lang w:val="en-US" w:eastAsia="zh-CN"/>
              </w:rPr>
              <w:t>绿篱生长造型正常，颜色正常，修剪及时，基本无死株和干死株，有虫株率在10%以下。</w:t>
            </w:r>
          </w:p>
        </w:tc>
      </w:tr>
      <w:tr w14:paraId="1F8F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3EE9D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000CF1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7558764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w:t>
            </w:r>
            <w:r>
              <w:rPr>
                <w:rFonts w:hint="eastAsia" w:ascii="仿宋" w:hAnsi="仿宋" w:eastAsia="仿宋" w:cs="仿宋"/>
                <w:color w:val="auto"/>
                <w:sz w:val="24"/>
                <w:szCs w:val="24"/>
                <w:highlight w:val="none"/>
                <w:u w:val="none"/>
                <w:lang w:val="en-US" w:eastAsia="zh-CN"/>
              </w:rPr>
              <w:t>清除花坛和花景的花蒂、黄叶、杂草、垃圾，做好病虫害防治。</w:t>
            </w:r>
          </w:p>
        </w:tc>
      </w:tr>
      <w:tr w14:paraId="50DB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542811A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0AEFB1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1B21B04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w:t>
            </w:r>
            <w:r>
              <w:rPr>
                <w:rFonts w:hint="eastAsia" w:ascii="仿宋" w:hAnsi="仿宋" w:eastAsia="仿宋" w:cs="仿宋"/>
                <w:color w:val="auto"/>
                <w:sz w:val="24"/>
                <w:szCs w:val="24"/>
                <w:highlight w:val="none"/>
                <w:u w:val="none"/>
                <w:lang w:val="en-US" w:eastAsia="zh-CN"/>
              </w:rPr>
              <w:t>水池水面定期清理，无枯枝落叶、水质清洁。</w:t>
            </w:r>
          </w:p>
        </w:tc>
      </w:tr>
      <w:tr w14:paraId="28E8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DCA1F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6A57C5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048E931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（7）根据病虫害发生规律实施综合治理，通常在病虫率高时，以药剂杀死病虫，以确保植物良好生长。产生垃圾的主要区域和路段做到日产日清。</w:t>
            </w:r>
          </w:p>
        </w:tc>
      </w:tr>
      <w:tr w14:paraId="1706A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E0B6F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637E48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934" w:type="dxa"/>
            <w:noWrap w:val="0"/>
            <w:vAlign w:val="center"/>
          </w:tcPr>
          <w:p w14:paraId="1FFCF9D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（8）雨雪、冰冻等恶劣天气来临前，专人巡查，对绿植做好预防措施，排除安全隐患。</w:t>
            </w:r>
          </w:p>
        </w:tc>
      </w:tr>
      <w:tr w14:paraId="7E95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6007E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9" w:type="dxa"/>
            <w:vMerge w:val="continue"/>
            <w:noWrap w:val="0"/>
            <w:vAlign w:val="center"/>
          </w:tcPr>
          <w:p w14:paraId="08C586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kern w:val="2"/>
                <w:sz w:val="24"/>
                <w:szCs w:val="24"/>
                <w:highlight w:val="none"/>
                <w:lang w:val="en-US" w:eastAsia="zh-CN" w:bidi="ar-SA"/>
              </w:rPr>
            </w:pPr>
          </w:p>
        </w:tc>
        <w:tc>
          <w:tcPr>
            <w:tcW w:w="9934" w:type="dxa"/>
            <w:noWrap w:val="0"/>
            <w:vAlign w:val="center"/>
          </w:tcPr>
          <w:p w14:paraId="7E55A4F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（9）恶劣天气后，及时清除倒树断枝，疏通道路，尽快恢复原状。</w:t>
            </w:r>
          </w:p>
        </w:tc>
      </w:tr>
    </w:tbl>
    <w:p w14:paraId="6486B581">
      <w:pPr>
        <w:pStyle w:val="3"/>
        <w:jc w:val="both"/>
        <w:rPr>
          <w:rFonts w:hint="default" w:ascii="Calibri" w:hAnsi="Calibri" w:eastAsia="宋体" w:cs="Times New Roman"/>
          <w:b/>
          <w:bCs w:val="0"/>
          <w:i w:val="0"/>
          <w:iCs w:val="0"/>
          <w:sz w:val="28"/>
          <w:szCs w:val="28"/>
          <w:highlight w:val="none"/>
          <w:u w:val="none"/>
          <w:lang w:val="en-US" w:eastAsia="zh-CN"/>
        </w:rPr>
      </w:pPr>
      <w:r>
        <w:rPr>
          <w:rFonts w:hint="eastAsia" w:cs="Times New Roman"/>
          <w:b/>
          <w:bCs w:val="0"/>
          <w:i w:val="0"/>
          <w:iCs w:val="0"/>
          <w:sz w:val="28"/>
          <w:szCs w:val="28"/>
          <w:highlight w:val="none"/>
          <w:u w:val="none"/>
          <w:lang w:val="en-US" w:eastAsia="zh-CN"/>
        </w:rPr>
        <w:t>3.6</w:t>
      </w:r>
      <w:r>
        <w:rPr>
          <w:rFonts w:hint="eastAsia" w:eastAsia="宋体" w:cs="Calibri"/>
          <w:color w:val="auto"/>
          <w:kern w:val="2"/>
          <w:sz w:val="28"/>
          <w:szCs w:val="28"/>
          <w:highlight w:val="none"/>
          <w:u w:val="none"/>
          <w:lang w:val="en-US" w:eastAsia="zh-CN" w:bidi="ar-SA"/>
        </w:rPr>
        <w:t>保安服务</w:t>
      </w:r>
    </w:p>
    <w:tbl>
      <w:tblPr>
        <w:tblStyle w:val="5"/>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1"/>
        <w:gridCol w:w="5786"/>
      </w:tblGrid>
      <w:tr w14:paraId="087C1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noWrap w:val="0"/>
            <w:vAlign w:val="center"/>
          </w:tcPr>
          <w:p w14:paraId="2A388B6B">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3367" w:type="dxa"/>
            <w:noWrap w:val="0"/>
            <w:vAlign w:val="center"/>
          </w:tcPr>
          <w:p w14:paraId="21BBFE7C">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9886" w:type="dxa"/>
            <w:noWrap w:val="0"/>
            <w:vAlign w:val="center"/>
          </w:tcPr>
          <w:p w14:paraId="7E2FFC46">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420B4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2CE78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3367" w:type="dxa"/>
            <w:vMerge w:val="restart"/>
            <w:noWrap w:val="0"/>
            <w:vAlign w:val="center"/>
          </w:tcPr>
          <w:p w14:paraId="3CD076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基本要求</w:t>
            </w:r>
          </w:p>
        </w:tc>
        <w:tc>
          <w:tcPr>
            <w:tcW w:w="9886" w:type="dxa"/>
            <w:noWrap w:val="0"/>
            <w:vAlign w:val="center"/>
          </w:tcPr>
          <w:p w14:paraId="3074F8B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（1）建立保安服务相关制度，并按照执行。</w:t>
            </w:r>
          </w:p>
        </w:tc>
      </w:tr>
      <w:tr w14:paraId="0D05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7DDA9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78140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10CD3AB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（2）对巡查、值守及异常情况等做好相关记录，填写规范，保存完好。</w:t>
            </w:r>
          </w:p>
        </w:tc>
      </w:tr>
      <w:tr w14:paraId="4142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F363B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4BC5E2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7CD59D8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（3）配备保安服务必要的器材。</w:t>
            </w:r>
          </w:p>
        </w:tc>
      </w:tr>
      <w:tr w14:paraId="7EABD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565CA9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3367" w:type="dxa"/>
            <w:vMerge w:val="restart"/>
            <w:noWrap w:val="0"/>
            <w:vAlign w:val="center"/>
          </w:tcPr>
          <w:p w14:paraId="1D9600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出入管理</w:t>
            </w:r>
          </w:p>
        </w:tc>
        <w:tc>
          <w:tcPr>
            <w:tcW w:w="9886" w:type="dxa"/>
            <w:noWrap w:val="0"/>
            <w:vAlign w:val="center"/>
          </w:tcPr>
          <w:p w14:paraId="70E8A8F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（1）办公楼（区）主出入口应当实行 值班制。</w:t>
            </w:r>
          </w:p>
        </w:tc>
      </w:tr>
      <w:tr w14:paraId="5D3E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DFDB32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16806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1B50662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（2）设置门岗。</w:t>
            </w:r>
          </w:p>
        </w:tc>
      </w:tr>
      <w:tr w14:paraId="2194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44CF0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208B9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118093B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（3）在出入口对外来人员及其携带大件物品、外来车辆进行询问和记录，并与相关部门取得联系，同意后方可进入。</w:t>
            </w:r>
          </w:p>
        </w:tc>
      </w:tr>
      <w:tr w14:paraId="47C4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2945B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3CAC05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E2ADC7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（4）大件物品搬出有相关部门开具的证明和清单，经核实后放行。</w:t>
            </w:r>
          </w:p>
        </w:tc>
      </w:tr>
      <w:tr w14:paraId="529D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255" w:type="dxa"/>
            <w:vMerge w:val="continue"/>
            <w:noWrap w:val="0"/>
            <w:vAlign w:val="center"/>
          </w:tcPr>
          <w:p w14:paraId="2350B7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36E12B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3B9048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（5）排查可疑人员，对于不出示证件、不按规定登记、不听劝阻而强行闯入者，及时劝离，必要时通知公安机关进行处理。</w:t>
            </w:r>
          </w:p>
        </w:tc>
      </w:tr>
      <w:tr w14:paraId="41E0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9F234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13CCBB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47D399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（6）配合相关部门积极疏导上访人员，有效疏导如出入口人群集聚、车辆拥堵、货物堵塞道路等情况。</w:t>
            </w:r>
          </w:p>
        </w:tc>
      </w:tr>
      <w:tr w14:paraId="5999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1923E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735D39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32B60EC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69D99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986FE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540E12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0092756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（8）提供现场接待服务。</w:t>
            </w:r>
          </w:p>
          <w:p w14:paraId="1880E9C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①</w:t>
            </w:r>
            <w:r>
              <w:rPr>
                <w:rFonts w:hint="eastAsia" w:ascii="仿宋" w:hAnsi="仿宋" w:eastAsia="仿宋" w:cs="仿宋"/>
                <w:color w:val="auto"/>
                <w:sz w:val="24"/>
                <w:szCs w:val="24"/>
                <w:highlight w:val="none"/>
                <w:u w:val="none"/>
                <w:lang w:eastAsia="zh-CN"/>
              </w:rPr>
              <w:t>做好来访人员、车辆进出证件登记，及时通报。</w:t>
            </w:r>
          </w:p>
          <w:p w14:paraId="2A67E02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②</w:t>
            </w:r>
            <w:r>
              <w:rPr>
                <w:rFonts w:hint="eastAsia" w:ascii="仿宋" w:hAnsi="仿宋" w:eastAsia="仿宋" w:cs="仿宋"/>
                <w:color w:val="auto"/>
                <w:sz w:val="24"/>
                <w:szCs w:val="24"/>
                <w:highlight w:val="none"/>
                <w:u w:val="none"/>
                <w:lang w:eastAsia="zh-CN"/>
              </w:rPr>
              <w:t>严禁无关人员、可疑人员和危险物品进入办公楼（区）内。</w:t>
            </w:r>
          </w:p>
          <w:p w14:paraId="7C8BDC8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③物品摆放整齐有序、分类放置。</w:t>
            </w:r>
          </w:p>
          <w:p w14:paraId="6EB6D46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④现场办理等待时间不超过5分钟，等待较长时间应</w:t>
            </w:r>
            <w:r>
              <w:rPr>
                <w:rFonts w:hint="eastAsia" w:ascii="仿宋" w:hAnsi="仿宋" w:eastAsia="仿宋" w:cs="仿宋"/>
                <w:color w:val="auto"/>
                <w:sz w:val="24"/>
                <w:szCs w:val="24"/>
                <w:highlight w:val="none"/>
                <w:u w:val="none"/>
                <w:lang w:eastAsia="zh-CN"/>
              </w:rPr>
              <w:t>当</w:t>
            </w:r>
            <w:r>
              <w:rPr>
                <w:rFonts w:hint="eastAsia" w:ascii="仿宋" w:hAnsi="仿宋" w:eastAsia="仿宋" w:cs="仿宋"/>
                <w:color w:val="auto"/>
                <w:sz w:val="24"/>
                <w:szCs w:val="24"/>
                <w:highlight w:val="none"/>
                <w:u w:val="none"/>
              </w:rPr>
              <w:t>及时沟通。</w:t>
            </w:r>
          </w:p>
          <w:p w14:paraId="73AD2D5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⑤对来访人员咨询、建议、求助等事项，及时处理或答复，处理和答复率100%。</w:t>
            </w:r>
          </w:p>
          <w:p w14:paraId="425376B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⑥接待服务工作时间应</w:t>
            </w:r>
            <w:r>
              <w:rPr>
                <w:rFonts w:hint="eastAsia" w:ascii="仿宋" w:hAnsi="仿宋" w:eastAsia="仿宋" w:cs="仿宋"/>
                <w:color w:val="auto"/>
                <w:sz w:val="24"/>
                <w:szCs w:val="24"/>
                <w:highlight w:val="none"/>
                <w:u w:val="none"/>
                <w:lang w:eastAsia="zh-CN"/>
              </w:rPr>
              <w:t>当</w:t>
            </w:r>
            <w:r>
              <w:rPr>
                <w:rFonts w:hint="eastAsia" w:ascii="仿宋" w:hAnsi="仿宋" w:eastAsia="仿宋" w:cs="仿宋"/>
                <w:color w:val="auto"/>
                <w:sz w:val="24"/>
                <w:szCs w:val="24"/>
                <w:highlight w:val="none"/>
                <w:u w:val="none"/>
              </w:rPr>
              <w:t>覆盖采购人工作时间。</w:t>
            </w:r>
          </w:p>
          <w:p w14:paraId="15592F3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⑦与被访人进行核实确认；告知被访人的办公室门牌号；告知访客注意事项（</w:t>
            </w:r>
            <w:r>
              <w:rPr>
                <w:rFonts w:hint="eastAsia" w:ascii="仿宋" w:hAnsi="仿宋" w:eastAsia="仿宋" w:cs="仿宋"/>
                <w:color w:val="auto"/>
                <w:sz w:val="24"/>
                <w:szCs w:val="24"/>
                <w:highlight w:val="none"/>
                <w:u w:val="none"/>
                <w:lang w:val="en-US" w:eastAsia="zh-CN"/>
              </w:rPr>
              <w:t>根据实际需要</w:t>
            </w:r>
            <w:r>
              <w:rPr>
                <w:rFonts w:hint="eastAsia" w:ascii="仿宋" w:hAnsi="仿宋" w:eastAsia="仿宋" w:cs="仿宋"/>
                <w:color w:val="auto"/>
                <w:sz w:val="24"/>
                <w:szCs w:val="24"/>
                <w:highlight w:val="none"/>
                <w:u w:val="none"/>
              </w:rPr>
              <w:t>填写</w:t>
            </w:r>
            <w:r>
              <w:rPr>
                <w:rFonts w:hint="eastAsia" w:ascii="仿宋" w:hAnsi="仿宋" w:eastAsia="仿宋" w:cs="仿宋"/>
                <w:color w:val="auto"/>
                <w:sz w:val="24"/>
                <w:szCs w:val="24"/>
                <w:highlight w:val="none"/>
                <w:u w:val="none"/>
                <w:lang w:val="en-US" w:eastAsia="zh-CN"/>
              </w:rPr>
              <w:t>注意事项</w:t>
            </w:r>
            <w:r>
              <w:rPr>
                <w:rFonts w:hint="eastAsia" w:ascii="仿宋" w:hAnsi="仿宋" w:eastAsia="仿宋" w:cs="仿宋"/>
                <w:color w:val="auto"/>
                <w:sz w:val="24"/>
                <w:szCs w:val="24"/>
                <w:highlight w:val="none"/>
                <w:u w:val="none"/>
              </w:rPr>
              <w:t>）。</w:t>
            </w:r>
          </w:p>
        </w:tc>
      </w:tr>
      <w:tr w14:paraId="3A66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6F3202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3367" w:type="dxa"/>
            <w:vMerge w:val="restart"/>
            <w:noWrap w:val="0"/>
            <w:vAlign w:val="center"/>
          </w:tcPr>
          <w:p w14:paraId="5E5A75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值班</w:t>
            </w:r>
            <w:r>
              <w:rPr>
                <w:rFonts w:hint="eastAsia" w:ascii="仿宋" w:hAnsi="仿宋" w:eastAsia="仿宋" w:cs="仿宋"/>
                <w:sz w:val="24"/>
                <w:szCs w:val="24"/>
                <w:highlight w:val="none"/>
              </w:rPr>
              <w:t>巡查</w:t>
            </w:r>
          </w:p>
        </w:tc>
        <w:tc>
          <w:tcPr>
            <w:tcW w:w="9886" w:type="dxa"/>
            <w:noWrap w:val="0"/>
            <w:vAlign w:val="center"/>
          </w:tcPr>
          <w:p w14:paraId="2F9A29F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（1）建立值班巡查制度。</w:t>
            </w:r>
          </w:p>
        </w:tc>
      </w:tr>
      <w:tr w14:paraId="360F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D0ABE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5B8F7B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886" w:type="dxa"/>
            <w:noWrap w:val="0"/>
            <w:vAlign w:val="center"/>
          </w:tcPr>
          <w:p w14:paraId="29A1B2C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（2）制定巡查路线，按照指定时间和路线执行，加强重点区域、重点部位及装修区域的巡查。</w:t>
            </w:r>
          </w:p>
        </w:tc>
      </w:tr>
      <w:tr w14:paraId="1B5F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4E728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278D10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val="en-US" w:eastAsia="zh-CN"/>
              </w:rPr>
            </w:pPr>
          </w:p>
        </w:tc>
        <w:tc>
          <w:tcPr>
            <w:tcW w:w="9886" w:type="dxa"/>
            <w:noWrap w:val="0"/>
            <w:vAlign w:val="center"/>
          </w:tcPr>
          <w:p w14:paraId="75CE7E4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（3）巡查期间保持通信设施设备畅通，遇到异常情况立即上报并在现场采取相应措施。</w:t>
            </w:r>
          </w:p>
        </w:tc>
      </w:tr>
      <w:tr w14:paraId="37E2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03E34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F0719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493D90B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（4）收到监控室指令后，巡查人员及时到达指定地点并迅速采取相应措施。</w:t>
            </w:r>
          </w:p>
        </w:tc>
      </w:tr>
      <w:tr w14:paraId="7329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187A4A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3367" w:type="dxa"/>
            <w:vMerge w:val="restart"/>
            <w:noWrap w:val="0"/>
            <w:vAlign w:val="center"/>
          </w:tcPr>
          <w:p w14:paraId="24B823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监控</w:t>
            </w:r>
            <w:r>
              <w:rPr>
                <w:rFonts w:hint="eastAsia" w:ascii="仿宋" w:hAnsi="仿宋" w:eastAsia="仿宋" w:cs="仿宋"/>
                <w:sz w:val="24"/>
                <w:szCs w:val="24"/>
                <w:highlight w:val="none"/>
                <w:lang w:val="en-US" w:eastAsia="zh-CN"/>
              </w:rPr>
              <w:t>值守</w:t>
            </w:r>
          </w:p>
        </w:tc>
        <w:tc>
          <w:tcPr>
            <w:tcW w:w="9886" w:type="dxa"/>
            <w:noWrap w:val="0"/>
            <w:vAlign w:val="center"/>
          </w:tcPr>
          <w:p w14:paraId="1CC0CB7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（1）监控室环境符合系统设备运行要求，定期进行检查和检测，确保系统功能正常。</w:t>
            </w:r>
          </w:p>
        </w:tc>
      </w:tr>
      <w:tr w14:paraId="2099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6E07B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5363A2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7217F96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（2）监控设备正常运行，监控室实行专人值班制度。</w:t>
            </w:r>
          </w:p>
        </w:tc>
      </w:tr>
      <w:tr w14:paraId="3E52B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C1E64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88726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589E31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（3）监控记录画面清晰，视频监控无死角、无盲区。</w:t>
            </w:r>
          </w:p>
        </w:tc>
      </w:tr>
      <w:tr w14:paraId="6083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F3020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31E7A6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4893D67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（4）值班期间遵守操作规程和保密制度，做好监控记录的保存工作。</w:t>
            </w:r>
          </w:p>
        </w:tc>
      </w:tr>
      <w:tr w14:paraId="66D8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8C89F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1445A7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079E2C7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（5）监控记录保持完整，保存时间不应少于90天。</w:t>
            </w:r>
          </w:p>
        </w:tc>
      </w:tr>
      <w:tr w14:paraId="7C81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55" w:type="dxa"/>
            <w:vMerge w:val="continue"/>
            <w:noWrap w:val="0"/>
            <w:vAlign w:val="center"/>
          </w:tcPr>
          <w:p w14:paraId="057BFF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59D512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60E8E02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（6）无关人员进入监控室或查阅监控记录，经授权人批准并做好相关记录。</w:t>
            </w:r>
          </w:p>
        </w:tc>
      </w:tr>
      <w:tr w14:paraId="4F85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089D1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77A696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72CAEE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（7）监控室收到火情等报警信号、其他异常情况信号后，及时报警并安排其他安保人员前往现场进行处理。</w:t>
            </w:r>
          </w:p>
        </w:tc>
      </w:tr>
      <w:tr w14:paraId="00BB4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EB58F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3367" w:type="dxa"/>
            <w:vMerge w:val="restart"/>
            <w:noWrap w:val="0"/>
            <w:vAlign w:val="center"/>
          </w:tcPr>
          <w:p w14:paraId="4D1D1E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车辆停放</w:t>
            </w:r>
          </w:p>
        </w:tc>
        <w:tc>
          <w:tcPr>
            <w:tcW w:w="9886" w:type="dxa"/>
            <w:noWrap w:val="0"/>
            <w:vAlign w:val="center"/>
          </w:tcPr>
          <w:p w14:paraId="49A0180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（1）车辆行驶路线设置合理、规范，导向标志完整、清晰。</w:t>
            </w:r>
          </w:p>
        </w:tc>
      </w:tr>
      <w:tr w14:paraId="7ACF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4C8636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08E1F2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20EDAD9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（2）合理规划车辆停放区域，张贴车辆引导标识，对车辆及停放区域实行规范管理。</w:t>
            </w:r>
          </w:p>
        </w:tc>
      </w:tr>
      <w:tr w14:paraId="14DF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6CDD2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3F6888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0FFE763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（3）严禁在办公楼的公用走道、楼梯间、安全出口处等公共区域停放车辆或充电。</w:t>
            </w:r>
          </w:p>
        </w:tc>
      </w:tr>
      <w:tr w14:paraId="351B7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EA906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0B5EB2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6A27EBF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（4）非机动车定点有序停放。</w:t>
            </w:r>
          </w:p>
        </w:tc>
      </w:tr>
      <w:tr w14:paraId="19E1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E4C50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4FF500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0E73538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（5）发现车辆异常情况及时通知车主，并做好登记；发生交通事故、自然灾害等意外事故时及时赶赴现场疏导和协助处理，响应时间不超过3分钟。</w:t>
            </w:r>
          </w:p>
        </w:tc>
      </w:tr>
      <w:tr w14:paraId="2136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2C64C9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3367" w:type="dxa"/>
            <w:vMerge w:val="restart"/>
            <w:noWrap w:val="0"/>
            <w:vAlign w:val="center"/>
          </w:tcPr>
          <w:p w14:paraId="7FAF70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消防安全管理</w:t>
            </w:r>
          </w:p>
        </w:tc>
        <w:tc>
          <w:tcPr>
            <w:tcW w:w="9886" w:type="dxa"/>
            <w:noWrap w:val="0"/>
            <w:vAlign w:val="center"/>
          </w:tcPr>
          <w:p w14:paraId="7F6391A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（1）建立消防安全责任制，确定各级消防安全责任人及其职责。</w:t>
            </w:r>
          </w:p>
        </w:tc>
      </w:tr>
      <w:tr w14:paraId="621E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1B2E4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159D49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4F889F0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（2）消防控制室实行值班制度。</w:t>
            </w:r>
          </w:p>
        </w:tc>
      </w:tr>
      <w:tr w14:paraId="70F2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68C68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0CACCA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0137E7C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（3）消火栓、应急照明、应急物资、消防及人员逃生通道、消防车通道可随时正常使用。</w:t>
            </w:r>
          </w:p>
        </w:tc>
      </w:tr>
      <w:tr w14:paraId="2144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5B6F3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19B216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D22B16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（4）易燃易爆品设专区专人管理，做好相关记录。</w:t>
            </w:r>
          </w:p>
        </w:tc>
      </w:tr>
      <w:tr w14:paraId="0A9A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B2AEA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25ACB3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4844631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（5）定期组织消防安全宣传，每半年至少开展1次消防演练。</w:t>
            </w:r>
          </w:p>
        </w:tc>
      </w:tr>
      <w:tr w14:paraId="375A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6298E1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3367" w:type="dxa"/>
            <w:vMerge w:val="restart"/>
            <w:noWrap w:val="0"/>
            <w:vAlign w:val="center"/>
          </w:tcPr>
          <w:p w14:paraId="42CEFF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突发事件处理</w:t>
            </w:r>
          </w:p>
        </w:tc>
        <w:tc>
          <w:tcPr>
            <w:tcW w:w="9886" w:type="dxa"/>
            <w:noWrap w:val="0"/>
            <w:vAlign w:val="center"/>
          </w:tcPr>
          <w:p w14:paraId="32D7D78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（1）制定突发事件安全责任书，明确突发事件责任人及应承担的安全责任。</w:t>
            </w:r>
          </w:p>
        </w:tc>
      </w:tr>
      <w:tr w14:paraId="1D79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55BB0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29B629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34F03DC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（2）建立应急突发事件处置队伍，明确各自的职责。</w:t>
            </w:r>
          </w:p>
        </w:tc>
      </w:tr>
      <w:tr w14:paraId="11E3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6E386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749801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5DFCF0A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（3）识别、分析各种潜在风险，针对不同风险类型制定相应解决方案，并配备应急物资。</w:t>
            </w:r>
          </w:p>
        </w:tc>
      </w:tr>
      <w:tr w14:paraId="0DAD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64945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0C6B2D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1420D68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（4）每半年至少开展1次突发事件应急演练，并有相应记录。</w:t>
            </w:r>
          </w:p>
        </w:tc>
      </w:tr>
      <w:tr w14:paraId="148A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92870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25D32E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3CAA5FA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（5）发生意外事件时，及时采取应急措施，维护办公区域物业服务正常进行，保护人身财产安全。</w:t>
            </w:r>
          </w:p>
        </w:tc>
      </w:tr>
      <w:tr w14:paraId="3D95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BBD1F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21C76C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41DF26F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2514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48665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66B129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44014D8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（7）事故处理后，及时形成事故应急总结报告，完善应急救援工作方案。</w:t>
            </w:r>
          </w:p>
        </w:tc>
      </w:tr>
      <w:tr w14:paraId="1F5B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94C29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3367" w:type="dxa"/>
            <w:vMerge w:val="restart"/>
            <w:noWrap w:val="0"/>
            <w:vAlign w:val="center"/>
          </w:tcPr>
          <w:p w14:paraId="4A93FA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大型活动秩序</w:t>
            </w:r>
          </w:p>
        </w:tc>
        <w:tc>
          <w:tcPr>
            <w:tcW w:w="9886" w:type="dxa"/>
            <w:noWrap w:val="0"/>
            <w:vAlign w:val="center"/>
          </w:tcPr>
          <w:p w14:paraId="462FCC2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（1）制定相应的活动秩序维护方案，合理安排人员，并对场所的安全隐患进行排查。</w:t>
            </w:r>
          </w:p>
        </w:tc>
      </w:tr>
      <w:tr w14:paraId="3120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4577B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5D8D51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19DC3F4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（2）应当保障通道、出入口、停车场等区域畅通。</w:t>
            </w:r>
          </w:p>
        </w:tc>
      </w:tr>
      <w:tr w14:paraId="7A66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BDDD9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3367" w:type="dxa"/>
            <w:vMerge w:val="continue"/>
            <w:noWrap w:val="0"/>
            <w:vAlign w:val="center"/>
          </w:tcPr>
          <w:p w14:paraId="579617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4"/>
                <w:szCs w:val="24"/>
                <w:highlight w:val="none"/>
              </w:rPr>
            </w:pPr>
          </w:p>
        </w:tc>
        <w:tc>
          <w:tcPr>
            <w:tcW w:w="9886" w:type="dxa"/>
            <w:noWrap w:val="0"/>
            <w:vAlign w:val="center"/>
          </w:tcPr>
          <w:p w14:paraId="6EB959E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 xml:space="preserve"> （3）活动举办过程中，做好现场秩序的维护和突发事故的处置工作，确保活动正常进行。</w:t>
            </w:r>
          </w:p>
        </w:tc>
      </w:tr>
    </w:tbl>
    <w:p w14:paraId="77B162C8">
      <w:pPr>
        <w:pStyle w:val="3"/>
        <w:bidi w:val="0"/>
        <w:jc w:val="both"/>
        <w:rPr>
          <w:rFonts w:hint="default"/>
          <w:sz w:val="28"/>
          <w:szCs w:val="28"/>
          <w:highlight w:val="none"/>
          <w:u w:val="none"/>
          <w:lang w:val="en-US" w:eastAsia="zh-CN"/>
        </w:rPr>
      </w:pPr>
      <w:r>
        <w:rPr>
          <w:rFonts w:hint="eastAsia"/>
          <w:sz w:val="28"/>
          <w:szCs w:val="28"/>
          <w:highlight w:val="none"/>
          <w:u w:val="none"/>
          <w:lang w:val="en-US" w:eastAsia="zh-CN"/>
        </w:rPr>
        <w:t>3.7会议服务</w:t>
      </w:r>
    </w:p>
    <w:tbl>
      <w:tblPr>
        <w:tblStyle w:val="5"/>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7"/>
      </w:tblGrid>
      <w:tr w14:paraId="645A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3F778DB7">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序号</w:t>
            </w:r>
          </w:p>
        </w:tc>
        <w:tc>
          <w:tcPr>
            <w:tcW w:w="3348" w:type="dxa"/>
            <w:noWrap w:val="0"/>
            <w:vAlign w:val="center"/>
          </w:tcPr>
          <w:p w14:paraId="12BFE5CF">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服务内容</w:t>
            </w:r>
          </w:p>
        </w:tc>
        <w:tc>
          <w:tcPr>
            <w:tcW w:w="9867" w:type="dxa"/>
            <w:noWrap w:val="0"/>
            <w:vAlign w:val="center"/>
          </w:tcPr>
          <w:p w14:paraId="397E5B3F">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服务标准</w:t>
            </w:r>
          </w:p>
        </w:tc>
      </w:tr>
      <w:tr w14:paraId="19FDD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76CBA242">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w:t>
            </w:r>
          </w:p>
        </w:tc>
        <w:tc>
          <w:tcPr>
            <w:tcW w:w="3348" w:type="dxa"/>
            <w:noWrap w:val="0"/>
            <w:vAlign w:val="center"/>
          </w:tcPr>
          <w:p w14:paraId="7DDDD715">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会议受理</w:t>
            </w:r>
          </w:p>
        </w:tc>
        <w:tc>
          <w:tcPr>
            <w:tcW w:w="9867" w:type="dxa"/>
            <w:noWrap w:val="0"/>
            <w:vAlign w:val="center"/>
          </w:tcPr>
          <w:p w14:paraId="33C7AA03">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接受会议预订，记录会议需求。</w:t>
            </w:r>
          </w:p>
        </w:tc>
      </w:tr>
      <w:tr w14:paraId="3DDBB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C6DABA4">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w:t>
            </w:r>
          </w:p>
        </w:tc>
        <w:tc>
          <w:tcPr>
            <w:tcW w:w="3348" w:type="dxa"/>
            <w:noWrap w:val="0"/>
            <w:vAlign w:val="center"/>
          </w:tcPr>
          <w:p w14:paraId="371C9331">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会前准备</w:t>
            </w:r>
          </w:p>
        </w:tc>
        <w:tc>
          <w:tcPr>
            <w:tcW w:w="9867" w:type="dxa"/>
            <w:noWrap w:val="0"/>
            <w:vAlign w:val="center"/>
          </w:tcPr>
          <w:p w14:paraId="316BC18C">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根据会议需求、场地大小、用途，明确会议桌椅、物品、设备、文具等摆放规定，音、视频设施保障措施。</w:t>
            </w:r>
          </w:p>
        </w:tc>
      </w:tr>
      <w:tr w14:paraId="30964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4B91867C">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w:t>
            </w:r>
          </w:p>
        </w:tc>
        <w:tc>
          <w:tcPr>
            <w:tcW w:w="3348" w:type="dxa"/>
            <w:noWrap w:val="0"/>
            <w:vAlign w:val="center"/>
          </w:tcPr>
          <w:p w14:paraId="12240816">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引导服务</w:t>
            </w:r>
          </w:p>
        </w:tc>
        <w:tc>
          <w:tcPr>
            <w:tcW w:w="9867" w:type="dxa"/>
            <w:noWrap w:val="0"/>
            <w:vAlign w:val="center"/>
          </w:tcPr>
          <w:p w14:paraId="51CF0A8F">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做好引导牌并放置在指定位置，引导人员引导手势规范，语言标准。</w:t>
            </w:r>
          </w:p>
        </w:tc>
      </w:tr>
      <w:tr w14:paraId="7EAD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184C95CE">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4</w:t>
            </w:r>
          </w:p>
        </w:tc>
        <w:tc>
          <w:tcPr>
            <w:tcW w:w="3348" w:type="dxa"/>
            <w:noWrap w:val="0"/>
            <w:vAlign w:val="center"/>
          </w:tcPr>
          <w:p w14:paraId="281DDE36">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会中服务</w:t>
            </w:r>
          </w:p>
        </w:tc>
        <w:tc>
          <w:tcPr>
            <w:tcW w:w="9867" w:type="dxa"/>
            <w:noWrap w:val="0"/>
            <w:vAlign w:val="center"/>
          </w:tcPr>
          <w:p w14:paraId="3F825F23">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会议期间按要求加水。</w:t>
            </w:r>
          </w:p>
        </w:tc>
      </w:tr>
      <w:tr w14:paraId="6B95B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AF327B4">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5</w:t>
            </w:r>
          </w:p>
        </w:tc>
        <w:tc>
          <w:tcPr>
            <w:tcW w:w="3348" w:type="dxa"/>
            <w:noWrap w:val="0"/>
            <w:vAlign w:val="center"/>
          </w:tcPr>
          <w:p w14:paraId="66F59328">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会后整理</w:t>
            </w:r>
          </w:p>
        </w:tc>
        <w:tc>
          <w:tcPr>
            <w:tcW w:w="9867" w:type="dxa"/>
            <w:noWrap w:val="0"/>
            <w:vAlign w:val="center"/>
          </w:tcPr>
          <w:p w14:paraId="0F002911">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对会议现场进行检查，做好会场清扫工作。</w:t>
            </w:r>
          </w:p>
        </w:tc>
      </w:tr>
    </w:tbl>
    <w:p w14:paraId="4A9F9DC0">
      <w:pPr>
        <w:pStyle w:val="2"/>
        <w:jc w:val="both"/>
        <w:rPr>
          <w:rFonts w:hint="eastAsia" w:cs="Calibri"/>
          <w:color w:val="auto"/>
          <w:sz w:val="28"/>
          <w:szCs w:val="28"/>
          <w:highlight w:val="none"/>
          <w:u w:val="none"/>
          <w:lang w:val="en-US" w:eastAsia="zh-CN"/>
        </w:rPr>
      </w:pPr>
      <w:bookmarkStart w:id="8" w:name="_Toc27983"/>
      <w:bookmarkStart w:id="9" w:name="_Toc26417"/>
      <w:bookmarkStart w:id="10" w:name="_Toc12052"/>
      <w:r>
        <w:rPr>
          <w:rFonts w:hint="eastAsia" w:cs="Calibri"/>
          <w:color w:val="auto"/>
          <w:sz w:val="28"/>
          <w:szCs w:val="28"/>
          <w:highlight w:val="none"/>
          <w:u w:val="none"/>
          <w:lang w:val="en-US" w:eastAsia="zh-CN"/>
        </w:rPr>
        <w:t>4.供应商履行合同所需的设备</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044"/>
        <w:gridCol w:w="4089"/>
        <w:gridCol w:w="875"/>
        <w:gridCol w:w="851"/>
      </w:tblGrid>
      <w:tr w14:paraId="4556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4C043366">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2227" w:type="dxa"/>
            <w:noWrap w:val="0"/>
            <w:vAlign w:val="center"/>
          </w:tcPr>
          <w:p w14:paraId="7E81E8A9">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用途</w:t>
            </w:r>
          </w:p>
        </w:tc>
        <w:tc>
          <w:tcPr>
            <w:tcW w:w="4456" w:type="dxa"/>
            <w:noWrap w:val="0"/>
            <w:vAlign w:val="center"/>
          </w:tcPr>
          <w:p w14:paraId="253C9388">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val="en-US" w:eastAsia="zh-CN"/>
              </w:rPr>
              <w:t>作业设备</w:t>
            </w:r>
            <w:r>
              <w:rPr>
                <w:rFonts w:hint="eastAsia" w:ascii="仿宋" w:hAnsi="仿宋" w:eastAsia="仿宋" w:cs="仿宋"/>
                <w:b/>
                <w:bCs/>
                <w:color w:val="auto"/>
                <w:kern w:val="0"/>
                <w:sz w:val="24"/>
                <w:szCs w:val="24"/>
                <w:highlight w:val="none"/>
              </w:rPr>
              <w:t>名称</w:t>
            </w:r>
          </w:p>
        </w:tc>
        <w:tc>
          <w:tcPr>
            <w:tcW w:w="953" w:type="dxa"/>
            <w:noWrap w:val="0"/>
            <w:vAlign w:val="center"/>
          </w:tcPr>
          <w:p w14:paraId="4B46E589">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数量</w:t>
            </w:r>
          </w:p>
        </w:tc>
        <w:tc>
          <w:tcPr>
            <w:tcW w:w="927" w:type="dxa"/>
            <w:noWrap w:val="0"/>
            <w:vAlign w:val="center"/>
          </w:tcPr>
          <w:p w14:paraId="40E0481C">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单位</w:t>
            </w:r>
          </w:p>
        </w:tc>
      </w:tr>
      <w:tr w14:paraId="105F8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395B4165">
            <w:pPr>
              <w:pageBreakBefore w:val="0"/>
              <w:widowControl/>
              <w:numPr>
                <w:ilvl w:val="0"/>
                <w:numId w:val="0"/>
              </w:numPr>
              <w:kinsoku/>
              <w:wordWrap/>
              <w:overflowPunct/>
              <w:topLinePunct w:val="0"/>
              <w:bidi w:val="0"/>
              <w:snapToGrid w:val="0"/>
              <w:spacing w:line="300" w:lineRule="auto"/>
              <w:ind w:left="0" w:firstLine="0"/>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w:t>
            </w:r>
          </w:p>
        </w:tc>
        <w:tc>
          <w:tcPr>
            <w:tcW w:w="2227" w:type="dxa"/>
            <w:noWrap w:val="0"/>
            <w:vAlign w:val="center"/>
          </w:tcPr>
          <w:p w14:paraId="71639818">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sz w:val="24"/>
                <w:szCs w:val="24"/>
                <w:highlight w:val="none"/>
                <w:lang w:val="en-US" w:eastAsia="zh-CN"/>
              </w:rPr>
              <w:t>公用设施设备维护服务</w:t>
            </w:r>
          </w:p>
        </w:tc>
        <w:tc>
          <w:tcPr>
            <w:tcW w:w="4456" w:type="dxa"/>
            <w:noWrap w:val="0"/>
            <w:vAlign w:val="center"/>
          </w:tcPr>
          <w:p w14:paraId="3F5FDEFB">
            <w:pPr>
              <w:pageBreakBefore w:val="0"/>
              <w:widowControl/>
              <w:kinsoku/>
              <w:wordWrap/>
              <w:overflowPunct/>
              <w:topLinePunct w:val="0"/>
              <w:bidi w:val="0"/>
              <w:snapToGrid w:val="0"/>
              <w:spacing w:line="300" w:lineRule="auto"/>
              <w:ind w:left="0" w:leftChars="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highlight w:val="none"/>
                <w:lang w:val="en-US" w:eastAsia="zh-CN"/>
              </w:rPr>
              <w:t>公用设施设备维护设备（</w:t>
            </w:r>
            <w:r>
              <w:rPr>
                <w:rFonts w:hint="eastAsia" w:ascii="仿宋" w:hAnsi="仿宋" w:eastAsia="仿宋" w:cs="仿宋"/>
                <w:b w:val="0"/>
                <w:bCs w:val="0"/>
                <w:color w:val="auto"/>
                <w:kern w:val="0"/>
                <w:sz w:val="24"/>
                <w:szCs w:val="24"/>
                <w:highlight w:val="none"/>
                <w:lang w:val="en-US" w:eastAsia="zh-CN" w:bidi="ar-SA"/>
              </w:rPr>
              <w:t>万用表2台、切割机1台、应急水泵1台、电焊机1台、吸尘吸水器1台、高压水枪1台）</w:t>
            </w:r>
          </w:p>
        </w:tc>
        <w:tc>
          <w:tcPr>
            <w:tcW w:w="953" w:type="dxa"/>
            <w:noWrap w:val="0"/>
            <w:vAlign w:val="center"/>
          </w:tcPr>
          <w:p w14:paraId="168BCB0D">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1</w:t>
            </w:r>
          </w:p>
        </w:tc>
        <w:tc>
          <w:tcPr>
            <w:tcW w:w="927" w:type="dxa"/>
            <w:noWrap w:val="0"/>
            <w:vAlign w:val="center"/>
          </w:tcPr>
          <w:p w14:paraId="46136969">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批</w:t>
            </w:r>
          </w:p>
        </w:tc>
      </w:tr>
      <w:tr w14:paraId="7FD4B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723" w:type="dxa"/>
            <w:noWrap w:val="0"/>
            <w:vAlign w:val="center"/>
          </w:tcPr>
          <w:p w14:paraId="1CFF6062">
            <w:pPr>
              <w:pageBreakBefore w:val="0"/>
              <w:widowControl/>
              <w:numPr>
                <w:ilvl w:val="0"/>
                <w:numId w:val="0"/>
              </w:numPr>
              <w:kinsoku/>
              <w:wordWrap/>
              <w:overflowPunct/>
              <w:topLinePunct w:val="0"/>
              <w:bidi w:val="0"/>
              <w:snapToGrid w:val="0"/>
              <w:spacing w:line="300" w:lineRule="auto"/>
              <w:ind w:left="0" w:firstLine="0"/>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w:t>
            </w:r>
          </w:p>
        </w:tc>
        <w:tc>
          <w:tcPr>
            <w:tcW w:w="2227" w:type="dxa"/>
            <w:noWrap w:val="0"/>
            <w:vAlign w:val="center"/>
          </w:tcPr>
          <w:p w14:paraId="77FF02A6">
            <w:pPr>
              <w:pageBreakBefore w:val="0"/>
              <w:widowControl/>
              <w:kinsoku/>
              <w:wordWrap/>
              <w:overflowPunct/>
              <w:topLinePunct w:val="0"/>
              <w:bidi w:val="0"/>
              <w:snapToGrid w:val="0"/>
              <w:spacing w:line="300" w:lineRule="auto"/>
              <w:ind w:left="0" w:left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保洁服务</w:t>
            </w:r>
          </w:p>
        </w:tc>
        <w:tc>
          <w:tcPr>
            <w:tcW w:w="4456" w:type="dxa"/>
            <w:noWrap w:val="0"/>
            <w:vAlign w:val="center"/>
          </w:tcPr>
          <w:p w14:paraId="673DF5FF">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保洁设备（尘推10个、多功能洗地机1台、吸尘吸水器2台、高压清洗机1台、吹地机2台）</w:t>
            </w:r>
          </w:p>
        </w:tc>
        <w:tc>
          <w:tcPr>
            <w:tcW w:w="953" w:type="dxa"/>
            <w:noWrap w:val="0"/>
            <w:vAlign w:val="center"/>
          </w:tcPr>
          <w:p w14:paraId="1DA188FF">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1</w:t>
            </w:r>
          </w:p>
        </w:tc>
        <w:tc>
          <w:tcPr>
            <w:tcW w:w="927" w:type="dxa"/>
            <w:noWrap w:val="0"/>
            <w:vAlign w:val="center"/>
          </w:tcPr>
          <w:p w14:paraId="4F71CBF3">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批</w:t>
            </w:r>
          </w:p>
        </w:tc>
      </w:tr>
      <w:tr w14:paraId="778F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23" w:type="dxa"/>
            <w:noWrap w:val="0"/>
            <w:vAlign w:val="center"/>
          </w:tcPr>
          <w:p w14:paraId="2D083F98">
            <w:pPr>
              <w:pageBreakBefore w:val="0"/>
              <w:widowControl/>
              <w:numPr>
                <w:ilvl w:val="0"/>
                <w:numId w:val="0"/>
              </w:numPr>
              <w:kinsoku/>
              <w:wordWrap/>
              <w:overflowPunct/>
              <w:topLinePunct w:val="0"/>
              <w:bidi w:val="0"/>
              <w:snapToGrid w:val="0"/>
              <w:spacing w:line="300" w:lineRule="auto"/>
              <w:ind w:left="0" w:firstLine="0"/>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w:t>
            </w:r>
          </w:p>
        </w:tc>
        <w:tc>
          <w:tcPr>
            <w:tcW w:w="2227" w:type="dxa"/>
            <w:noWrap w:val="0"/>
            <w:vAlign w:val="center"/>
          </w:tcPr>
          <w:p w14:paraId="4380F2C7">
            <w:pPr>
              <w:pageBreakBefore w:val="0"/>
              <w:widowControl/>
              <w:kinsoku/>
              <w:wordWrap/>
              <w:overflowPunct/>
              <w:topLinePunct w:val="0"/>
              <w:bidi w:val="0"/>
              <w:snapToGrid w:val="0"/>
              <w:spacing w:line="300" w:lineRule="auto"/>
              <w:ind w:left="0" w:left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绿化服务</w:t>
            </w:r>
          </w:p>
        </w:tc>
        <w:tc>
          <w:tcPr>
            <w:tcW w:w="4456" w:type="dxa"/>
            <w:noWrap w:val="0"/>
            <w:vAlign w:val="center"/>
          </w:tcPr>
          <w:p w14:paraId="173C9B68">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绿化设备（绿篱机1台、打草机1台、绿化长剪2把）</w:t>
            </w:r>
          </w:p>
        </w:tc>
        <w:tc>
          <w:tcPr>
            <w:tcW w:w="953" w:type="dxa"/>
            <w:noWrap w:val="0"/>
            <w:vAlign w:val="center"/>
          </w:tcPr>
          <w:p w14:paraId="71E5A461">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1</w:t>
            </w:r>
          </w:p>
        </w:tc>
        <w:tc>
          <w:tcPr>
            <w:tcW w:w="927" w:type="dxa"/>
            <w:noWrap w:val="0"/>
            <w:vAlign w:val="center"/>
          </w:tcPr>
          <w:p w14:paraId="62417A0E">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批</w:t>
            </w:r>
          </w:p>
        </w:tc>
      </w:tr>
      <w:tr w14:paraId="0E3E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220960E5">
            <w:pPr>
              <w:pageBreakBefore w:val="0"/>
              <w:widowControl/>
              <w:numPr>
                <w:ilvl w:val="0"/>
                <w:numId w:val="0"/>
              </w:numPr>
              <w:kinsoku/>
              <w:wordWrap/>
              <w:overflowPunct/>
              <w:topLinePunct w:val="0"/>
              <w:bidi w:val="0"/>
              <w:snapToGrid w:val="0"/>
              <w:spacing w:line="300" w:lineRule="auto"/>
              <w:ind w:left="0" w:firstLine="0"/>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w:t>
            </w:r>
          </w:p>
        </w:tc>
        <w:tc>
          <w:tcPr>
            <w:tcW w:w="2227" w:type="dxa"/>
            <w:noWrap w:val="0"/>
            <w:vAlign w:val="center"/>
          </w:tcPr>
          <w:p w14:paraId="5F8B64FE">
            <w:pPr>
              <w:pageBreakBefore w:val="0"/>
              <w:widowControl/>
              <w:kinsoku/>
              <w:wordWrap/>
              <w:overflowPunct/>
              <w:topLinePunct w:val="0"/>
              <w:bidi w:val="0"/>
              <w:snapToGrid w:val="0"/>
              <w:spacing w:line="300" w:lineRule="auto"/>
              <w:ind w:left="0" w:left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保安服务</w:t>
            </w:r>
          </w:p>
        </w:tc>
        <w:tc>
          <w:tcPr>
            <w:tcW w:w="4456" w:type="dxa"/>
            <w:noWrap w:val="0"/>
            <w:vAlign w:val="center"/>
          </w:tcPr>
          <w:p w14:paraId="2BE009C9">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eastAsia="zh-CN"/>
              </w:rPr>
              <w:t>安保设备（</w:t>
            </w:r>
            <w:r>
              <w:rPr>
                <w:rFonts w:hint="eastAsia" w:ascii="仿宋" w:hAnsi="仿宋" w:eastAsia="仿宋" w:cs="仿宋"/>
                <w:b w:val="0"/>
                <w:bCs w:val="0"/>
                <w:color w:val="auto"/>
                <w:spacing w:val="-2"/>
                <w:sz w:val="24"/>
                <w:szCs w:val="24"/>
                <w:highlight w:val="none"/>
              </w:rPr>
              <w:t>防暴头盔、强光灯、雨具、大功率手电、巡逻手电、对讲机）</w:t>
            </w:r>
          </w:p>
        </w:tc>
        <w:tc>
          <w:tcPr>
            <w:tcW w:w="953" w:type="dxa"/>
            <w:noWrap w:val="0"/>
            <w:vAlign w:val="center"/>
          </w:tcPr>
          <w:p w14:paraId="20CD5890">
            <w:pPr>
              <w:pageBreakBefore w:val="0"/>
              <w:widowControl/>
              <w:kinsoku/>
              <w:wordWrap/>
              <w:overflowPunct/>
              <w:topLinePunct w:val="0"/>
              <w:bidi w:val="0"/>
              <w:snapToGrid w:val="0"/>
              <w:spacing w:line="300" w:lineRule="auto"/>
              <w:ind w:left="0" w:leftChars="0"/>
              <w:jc w:val="center"/>
              <w:rPr>
                <w:rFonts w:hint="default"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13</w:t>
            </w:r>
          </w:p>
        </w:tc>
        <w:tc>
          <w:tcPr>
            <w:tcW w:w="927" w:type="dxa"/>
            <w:noWrap w:val="0"/>
            <w:vAlign w:val="center"/>
          </w:tcPr>
          <w:p w14:paraId="3990153B">
            <w:pPr>
              <w:pageBreakBefore w:val="0"/>
              <w:widowControl/>
              <w:kinsoku/>
              <w:wordWrap/>
              <w:overflowPunct/>
              <w:topLinePunct w:val="0"/>
              <w:bidi w:val="0"/>
              <w:snapToGrid w:val="0"/>
              <w:spacing w:line="300" w:lineRule="auto"/>
              <w:ind w:left="0" w:leftChars="0"/>
              <w:jc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套</w:t>
            </w:r>
          </w:p>
        </w:tc>
      </w:tr>
    </w:tbl>
    <w:p w14:paraId="4320745C">
      <w:pPr>
        <w:pStyle w:val="2"/>
        <w:numPr>
          <w:ilvl w:val="0"/>
          <w:numId w:val="1"/>
        </w:numPr>
        <w:bidi w:val="0"/>
        <w:jc w:val="both"/>
        <w:rPr>
          <w:rFonts w:hint="default"/>
          <w:sz w:val="28"/>
          <w:szCs w:val="28"/>
          <w:highlight w:val="none"/>
        </w:rPr>
      </w:pPr>
      <w:r>
        <w:rPr>
          <w:rFonts w:hint="default"/>
          <w:sz w:val="28"/>
          <w:szCs w:val="28"/>
          <w:highlight w:val="none"/>
        </w:rPr>
        <w:t>物业管理服务人员需求</w:t>
      </w:r>
    </w:p>
    <w:bookmarkEnd w:id="8"/>
    <w:bookmarkEnd w:id="9"/>
    <w:bookmarkEnd w:id="10"/>
    <w:tbl>
      <w:tblPr>
        <w:tblStyle w:val="5"/>
        <w:tblW w:w="9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5"/>
        <w:gridCol w:w="784"/>
        <w:gridCol w:w="1003"/>
        <w:gridCol w:w="1051"/>
        <w:gridCol w:w="4957"/>
      </w:tblGrid>
      <w:tr w14:paraId="72B3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475" w:type="dxa"/>
            <w:noWrap w:val="0"/>
            <w:vAlign w:val="center"/>
          </w:tcPr>
          <w:p w14:paraId="07394A6A">
            <w:pPr>
              <w:pageBreakBefore w:val="0"/>
              <w:widowControl/>
              <w:kinsoku/>
              <w:wordWrap/>
              <w:overflowPunct/>
              <w:topLinePunct w:val="0"/>
              <w:bidi w:val="0"/>
              <w:snapToGrid w:val="0"/>
              <w:spacing w:line="240" w:lineRule="auto"/>
              <w:ind w:left="0" w:leftChars="0" w:right="0" w:rightChars="0" w:firstLine="0" w:firstLineChars="0"/>
              <w:jc w:val="center"/>
              <w:rPr>
                <w:rFonts w:hint="default" w:ascii="Calibri" w:hAnsi="Calibri" w:eastAsia="宋体" w:cs="Calibri"/>
                <w:b/>
                <w:bCs w:val="0"/>
                <w:color w:val="auto"/>
                <w:sz w:val="24"/>
                <w:szCs w:val="24"/>
                <w:highlight w:val="none"/>
                <w:lang w:val="en-US" w:eastAsia="zh-CN"/>
              </w:rPr>
            </w:pPr>
            <w:r>
              <w:rPr>
                <w:rFonts w:hint="default" w:ascii="Calibri" w:hAnsi="Calibri" w:eastAsia="宋体" w:cs="Calibri"/>
                <w:b/>
                <w:bCs w:val="0"/>
                <w:color w:val="auto"/>
                <w:sz w:val="24"/>
                <w:szCs w:val="24"/>
                <w:highlight w:val="none"/>
              </w:rPr>
              <w:t>部门</w:t>
            </w:r>
            <w:r>
              <w:rPr>
                <w:rFonts w:hint="default" w:ascii="Calibri" w:hAnsi="Calibri" w:eastAsia="宋体" w:cs="Calibri"/>
                <w:b/>
                <w:bCs w:val="0"/>
                <w:color w:val="auto"/>
                <w:sz w:val="24"/>
                <w:szCs w:val="24"/>
                <w:highlight w:val="none"/>
                <w:lang w:eastAsia="zh-CN"/>
              </w:rPr>
              <w:t>职能</w:t>
            </w:r>
          </w:p>
        </w:tc>
        <w:tc>
          <w:tcPr>
            <w:tcW w:w="784" w:type="dxa"/>
            <w:noWrap w:val="0"/>
            <w:vAlign w:val="center"/>
          </w:tcPr>
          <w:p w14:paraId="6968C713">
            <w:pPr>
              <w:pageBreakBefore w:val="0"/>
              <w:widowControl/>
              <w:kinsoku/>
              <w:wordWrap/>
              <w:overflowPunct/>
              <w:topLinePunct w:val="0"/>
              <w:bidi w:val="0"/>
              <w:snapToGrid w:val="0"/>
              <w:spacing w:line="240" w:lineRule="auto"/>
              <w:ind w:left="0" w:leftChars="0" w:right="0" w:rightChars="0" w:firstLine="0" w:firstLineChars="0"/>
              <w:jc w:val="center"/>
              <w:rPr>
                <w:rFonts w:hint="default" w:ascii="Calibri" w:hAnsi="Calibri" w:eastAsia="宋体" w:cs="Calibri"/>
                <w:b/>
                <w:bCs w:val="0"/>
                <w:color w:val="auto"/>
                <w:sz w:val="24"/>
                <w:szCs w:val="24"/>
                <w:highlight w:val="none"/>
              </w:rPr>
            </w:pPr>
            <w:r>
              <w:rPr>
                <w:rFonts w:hint="default" w:ascii="Calibri" w:hAnsi="Calibri" w:eastAsia="宋体" w:cs="Calibri"/>
                <w:b/>
                <w:bCs w:val="0"/>
                <w:color w:val="auto"/>
                <w:sz w:val="24"/>
                <w:szCs w:val="24"/>
                <w:highlight w:val="none"/>
              </w:rPr>
              <w:t>岗位</w:t>
            </w:r>
          </w:p>
        </w:tc>
        <w:tc>
          <w:tcPr>
            <w:tcW w:w="1003" w:type="dxa"/>
            <w:noWrap w:val="0"/>
            <w:vAlign w:val="center"/>
          </w:tcPr>
          <w:p w14:paraId="5540A564">
            <w:pPr>
              <w:pageBreakBefore w:val="0"/>
              <w:widowControl/>
              <w:kinsoku/>
              <w:wordWrap/>
              <w:overflowPunct/>
              <w:topLinePunct w:val="0"/>
              <w:bidi w:val="0"/>
              <w:snapToGrid w:val="0"/>
              <w:spacing w:line="240" w:lineRule="auto"/>
              <w:ind w:left="0" w:leftChars="0" w:right="0" w:rightChars="0" w:firstLine="0" w:firstLineChars="0"/>
              <w:jc w:val="center"/>
              <w:rPr>
                <w:rFonts w:hint="default" w:ascii="Calibri" w:hAnsi="Calibri" w:eastAsia="宋体" w:cs="Calibri"/>
                <w:b/>
                <w:bCs w:val="0"/>
                <w:color w:val="auto"/>
                <w:sz w:val="24"/>
                <w:szCs w:val="24"/>
                <w:highlight w:val="none"/>
              </w:rPr>
            </w:pPr>
            <w:r>
              <w:rPr>
                <w:rFonts w:hint="default" w:ascii="Calibri" w:hAnsi="Calibri" w:eastAsia="宋体" w:cs="Calibri"/>
                <w:b/>
                <w:bCs w:val="0"/>
                <w:color w:val="auto"/>
                <w:sz w:val="24"/>
                <w:szCs w:val="24"/>
                <w:highlight w:val="none"/>
              </w:rPr>
              <w:t>同时在岗人数</w:t>
            </w:r>
          </w:p>
        </w:tc>
        <w:tc>
          <w:tcPr>
            <w:tcW w:w="1051" w:type="dxa"/>
            <w:noWrap w:val="0"/>
            <w:vAlign w:val="center"/>
          </w:tcPr>
          <w:p w14:paraId="0C0E0F6D">
            <w:pPr>
              <w:pageBreakBefore w:val="0"/>
              <w:widowControl/>
              <w:kinsoku/>
              <w:wordWrap/>
              <w:overflowPunct/>
              <w:topLinePunct w:val="0"/>
              <w:bidi w:val="0"/>
              <w:snapToGrid w:val="0"/>
              <w:spacing w:line="240" w:lineRule="auto"/>
              <w:ind w:left="0" w:leftChars="0" w:right="0" w:rightChars="0" w:firstLine="0" w:firstLineChars="0"/>
              <w:jc w:val="center"/>
              <w:rPr>
                <w:rFonts w:hint="default" w:ascii="Calibri" w:hAnsi="Calibri" w:eastAsia="宋体" w:cs="Calibri"/>
                <w:b/>
                <w:bCs w:val="0"/>
                <w:color w:val="auto"/>
                <w:sz w:val="24"/>
                <w:szCs w:val="24"/>
                <w:highlight w:val="none"/>
              </w:rPr>
            </w:pPr>
            <w:r>
              <w:rPr>
                <w:rFonts w:hint="default" w:ascii="Calibri" w:hAnsi="Calibri" w:eastAsia="宋体" w:cs="Calibri"/>
                <w:b/>
                <w:bCs w:val="0"/>
                <w:color w:val="auto"/>
                <w:sz w:val="24"/>
                <w:szCs w:val="24"/>
                <w:highlight w:val="none"/>
              </w:rPr>
              <w:t>岗位所需总人数</w:t>
            </w:r>
          </w:p>
        </w:tc>
        <w:tc>
          <w:tcPr>
            <w:tcW w:w="4957" w:type="dxa"/>
            <w:noWrap w:val="0"/>
            <w:vAlign w:val="center"/>
          </w:tcPr>
          <w:p w14:paraId="2CE23E75">
            <w:pPr>
              <w:pageBreakBefore w:val="0"/>
              <w:widowControl/>
              <w:kinsoku/>
              <w:wordWrap/>
              <w:overflowPunct/>
              <w:topLinePunct w:val="0"/>
              <w:bidi w:val="0"/>
              <w:snapToGrid w:val="0"/>
              <w:spacing w:line="240" w:lineRule="auto"/>
              <w:ind w:left="0" w:leftChars="0" w:right="0" w:rightChars="0" w:firstLine="0" w:firstLineChars="0"/>
              <w:jc w:val="center"/>
              <w:rPr>
                <w:rFonts w:hint="default" w:ascii="Calibri" w:hAnsi="Calibri" w:eastAsia="宋体" w:cs="Calibri"/>
                <w:b/>
                <w:bCs w:val="0"/>
                <w:color w:val="auto"/>
                <w:sz w:val="24"/>
                <w:szCs w:val="24"/>
                <w:highlight w:val="none"/>
              </w:rPr>
            </w:pPr>
            <w:r>
              <w:rPr>
                <w:rFonts w:hint="default" w:ascii="Calibri" w:hAnsi="Calibri" w:eastAsia="宋体" w:cs="Calibri"/>
                <w:b/>
                <w:bCs w:val="0"/>
                <w:color w:val="auto"/>
                <w:sz w:val="24"/>
                <w:szCs w:val="24"/>
                <w:highlight w:val="none"/>
              </w:rPr>
              <w:t>备注</w:t>
            </w:r>
          </w:p>
        </w:tc>
      </w:tr>
      <w:tr w14:paraId="5BAB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75" w:type="dxa"/>
            <w:noWrap w:val="0"/>
            <w:vAlign w:val="center"/>
          </w:tcPr>
          <w:p w14:paraId="1CF4273F">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服务中心</w:t>
            </w:r>
          </w:p>
        </w:tc>
        <w:tc>
          <w:tcPr>
            <w:tcW w:w="784" w:type="dxa"/>
            <w:noWrap w:val="0"/>
            <w:vAlign w:val="center"/>
          </w:tcPr>
          <w:p w14:paraId="3C8B4A7A">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项目经理</w:t>
            </w:r>
          </w:p>
        </w:tc>
        <w:tc>
          <w:tcPr>
            <w:tcW w:w="1003" w:type="dxa"/>
            <w:noWrap w:val="0"/>
            <w:vAlign w:val="center"/>
          </w:tcPr>
          <w:p w14:paraId="75F272F9">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1051" w:type="dxa"/>
            <w:noWrap w:val="0"/>
            <w:vAlign w:val="center"/>
          </w:tcPr>
          <w:p w14:paraId="048415D7">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957" w:type="dxa"/>
            <w:noWrap w:val="0"/>
            <w:vAlign w:val="center"/>
          </w:tcPr>
          <w:p w14:paraId="4A2E26D7">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rPr>
            </w:pPr>
            <w:r>
              <w:rPr>
                <w:rFonts w:hint="eastAsia" w:ascii="仿宋" w:hAnsi="仿宋" w:eastAsia="仿宋" w:cs="仿宋"/>
                <w:i w:val="0"/>
                <w:iCs w:val="0"/>
                <w:color w:val="000000"/>
                <w:kern w:val="0"/>
                <w:sz w:val="24"/>
                <w:szCs w:val="24"/>
                <w:u w:val="none"/>
                <w:lang w:val="en-US" w:eastAsia="zh-CN" w:bidi="ar"/>
              </w:rPr>
              <w:t>大专以上学历，政治素质过硬、作风正派；具备较强文字、协调、统筹能力。未经采购人同意不得擅自更换。</w:t>
            </w:r>
          </w:p>
        </w:tc>
      </w:tr>
      <w:tr w14:paraId="5B8E3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75" w:type="dxa"/>
            <w:noWrap w:val="0"/>
            <w:vAlign w:val="center"/>
          </w:tcPr>
          <w:p w14:paraId="44DC963F">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会务服务</w:t>
            </w:r>
          </w:p>
        </w:tc>
        <w:tc>
          <w:tcPr>
            <w:tcW w:w="784" w:type="dxa"/>
            <w:noWrap w:val="0"/>
            <w:vAlign w:val="center"/>
          </w:tcPr>
          <w:p w14:paraId="660C3E91">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会务员</w:t>
            </w:r>
          </w:p>
        </w:tc>
        <w:tc>
          <w:tcPr>
            <w:tcW w:w="1003" w:type="dxa"/>
            <w:noWrap w:val="0"/>
            <w:vAlign w:val="center"/>
          </w:tcPr>
          <w:p w14:paraId="3A818199">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051" w:type="dxa"/>
            <w:noWrap w:val="0"/>
            <w:vAlign w:val="center"/>
          </w:tcPr>
          <w:p w14:paraId="07E5BA2A">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4957" w:type="dxa"/>
            <w:noWrap w:val="0"/>
            <w:vAlign w:val="center"/>
          </w:tcPr>
          <w:p w14:paraId="3CEDE9D8">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身体健康，无传染疾病，能适应站立服务、加班及临时调班，品行端正，遵守单位规章制度。</w:t>
            </w:r>
          </w:p>
        </w:tc>
      </w:tr>
      <w:tr w14:paraId="384C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75" w:type="dxa"/>
            <w:noWrap w:val="0"/>
            <w:vAlign w:val="center"/>
          </w:tcPr>
          <w:p w14:paraId="7CE6595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公用设施设备维护服务</w:t>
            </w:r>
          </w:p>
        </w:tc>
        <w:tc>
          <w:tcPr>
            <w:tcW w:w="784" w:type="dxa"/>
            <w:noWrap w:val="0"/>
            <w:vAlign w:val="center"/>
          </w:tcPr>
          <w:p w14:paraId="4935A92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水电工</w:t>
            </w:r>
          </w:p>
        </w:tc>
        <w:tc>
          <w:tcPr>
            <w:tcW w:w="1003" w:type="dxa"/>
            <w:noWrap w:val="0"/>
            <w:vAlign w:val="center"/>
          </w:tcPr>
          <w:p w14:paraId="26AF5B27">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051" w:type="dxa"/>
            <w:noWrap w:val="0"/>
            <w:vAlign w:val="center"/>
          </w:tcPr>
          <w:p w14:paraId="2295EE9E">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4957" w:type="dxa"/>
            <w:noWrap w:val="0"/>
            <w:vAlign w:val="center"/>
          </w:tcPr>
          <w:p w14:paraId="62560560">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负责水、电、暖、电器、消防、监控、弱电系统日常维修养护；持有特种作业操作证（低压电工作业）。具备应急抢修能力。每周一巡检、故障随报随修，每月月中全面检修排查，每日巡查一次常态化管控。急修须在30分钟内到场处置，一般维修24小时内办结，复杂维修48小时内制定整改方案并报备采购人。</w:t>
            </w:r>
          </w:p>
        </w:tc>
      </w:tr>
      <w:tr w14:paraId="349A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1475" w:type="dxa"/>
            <w:noWrap w:val="0"/>
            <w:vAlign w:val="center"/>
          </w:tcPr>
          <w:p w14:paraId="6EB3BC94">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保洁服务</w:t>
            </w:r>
          </w:p>
        </w:tc>
        <w:tc>
          <w:tcPr>
            <w:tcW w:w="784" w:type="dxa"/>
            <w:noWrap w:val="0"/>
            <w:vAlign w:val="center"/>
          </w:tcPr>
          <w:p w14:paraId="0FC381E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保洁员</w:t>
            </w:r>
          </w:p>
        </w:tc>
        <w:tc>
          <w:tcPr>
            <w:tcW w:w="1003" w:type="dxa"/>
            <w:noWrap w:val="0"/>
            <w:vAlign w:val="center"/>
          </w:tcPr>
          <w:p w14:paraId="56D767EF">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25</w:t>
            </w:r>
          </w:p>
        </w:tc>
        <w:tc>
          <w:tcPr>
            <w:tcW w:w="1051" w:type="dxa"/>
            <w:noWrap w:val="0"/>
            <w:vAlign w:val="center"/>
          </w:tcPr>
          <w:p w14:paraId="34FA141E">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25</w:t>
            </w:r>
          </w:p>
        </w:tc>
        <w:tc>
          <w:tcPr>
            <w:tcW w:w="4957" w:type="dxa"/>
            <w:noWrap w:val="0"/>
            <w:vAlign w:val="center"/>
          </w:tcPr>
          <w:p w14:paraId="7F077E04">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负责日常保洁；身体健康，持健康证、无传染病、品行端正、服从管理。8小时上班制，每日清扫至少2次、每月月中冲洗、全天巡回保洁，每日至少擦拭一次、常态化维护，</w:t>
            </w:r>
          </w:p>
        </w:tc>
      </w:tr>
      <w:tr w14:paraId="546C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75" w:type="dxa"/>
            <w:noWrap w:val="0"/>
            <w:vAlign w:val="center"/>
          </w:tcPr>
          <w:p w14:paraId="0C6624D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门卫服务</w:t>
            </w:r>
          </w:p>
        </w:tc>
        <w:tc>
          <w:tcPr>
            <w:tcW w:w="784" w:type="dxa"/>
            <w:noWrap w:val="0"/>
            <w:vAlign w:val="center"/>
          </w:tcPr>
          <w:p w14:paraId="0F0B3A9A">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门卫</w:t>
            </w:r>
          </w:p>
        </w:tc>
        <w:tc>
          <w:tcPr>
            <w:tcW w:w="1003" w:type="dxa"/>
            <w:noWrap w:val="0"/>
            <w:vAlign w:val="center"/>
          </w:tcPr>
          <w:p w14:paraId="0607E65F">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13</w:t>
            </w:r>
          </w:p>
        </w:tc>
        <w:tc>
          <w:tcPr>
            <w:tcW w:w="1051" w:type="dxa"/>
            <w:noWrap w:val="0"/>
            <w:vAlign w:val="center"/>
          </w:tcPr>
          <w:p w14:paraId="526D54AC">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13</w:t>
            </w:r>
          </w:p>
        </w:tc>
        <w:tc>
          <w:tcPr>
            <w:tcW w:w="4957" w:type="dxa"/>
            <w:noWrap w:val="0"/>
            <w:vAlign w:val="center"/>
          </w:tcPr>
          <w:p w14:paraId="09B348FA">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门岗值守、全域巡查、消防设施日常检查；形象端正、身体健康，每月一次技能培训、每季度一次消防应急演练；每周至少全面排查一次。（大队机关实行三班制，其他人员实行8小时工作制）（均持有保安证）</w:t>
            </w:r>
          </w:p>
        </w:tc>
      </w:tr>
      <w:tr w14:paraId="21D1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75" w:type="dxa"/>
            <w:noWrap w:val="0"/>
            <w:vAlign w:val="center"/>
          </w:tcPr>
          <w:p w14:paraId="47912E66">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供暖服务</w:t>
            </w:r>
          </w:p>
        </w:tc>
        <w:tc>
          <w:tcPr>
            <w:tcW w:w="784" w:type="dxa"/>
            <w:noWrap w:val="0"/>
            <w:vAlign w:val="center"/>
          </w:tcPr>
          <w:p w14:paraId="24725FE2">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sz w:val="24"/>
                <w:szCs w:val="24"/>
              </w:rPr>
              <w:t>锅炉工</w:t>
            </w:r>
          </w:p>
        </w:tc>
        <w:tc>
          <w:tcPr>
            <w:tcW w:w="1003" w:type="dxa"/>
            <w:noWrap w:val="0"/>
            <w:vAlign w:val="center"/>
          </w:tcPr>
          <w:p w14:paraId="6554FA87">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2</w:t>
            </w:r>
          </w:p>
        </w:tc>
        <w:tc>
          <w:tcPr>
            <w:tcW w:w="1051" w:type="dxa"/>
            <w:noWrap w:val="0"/>
            <w:vAlign w:val="center"/>
          </w:tcPr>
          <w:p w14:paraId="547E5C42">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p>
        </w:tc>
        <w:tc>
          <w:tcPr>
            <w:tcW w:w="4957" w:type="dxa"/>
            <w:noWrap w:val="0"/>
            <w:vAlign w:val="center"/>
          </w:tcPr>
          <w:p w14:paraId="494F0FC4">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负责锅炉启停、巡检，监控压力水位温度；依规补水排污，维护设备；做好运行记录，排查故障，严守安全操作规程。须持有效期内特种设备作业人员证书（工业锅炉司炉 G1）。</w:t>
            </w:r>
          </w:p>
        </w:tc>
      </w:tr>
      <w:tr w14:paraId="7162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75" w:type="dxa"/>
            <w:noWrap w:val="0"/>
            <w:vAlign w:val="center"/>
          </w:tcPr>
          <w:p w14:paraId="0163F39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合计</w:t>
            </w:r>
          </w:p>
        </w:tc>
        <w:tc>
          <w:tcPr>
            <w:tcW w:w="784" w:type="dxa"/>
            <w:noWrap w:val="0"/>
            <w:vAlign w:val="center"/>
          </w:tcPr>
          <w:p w14:paraId="27E640F8">
            <w:pPr>
              <w:pageBreakBefore w:val="0"/>
              <w:widowControl/>
              <w:kinsoku/>
              <w:wordWrap/>
              <w:overflowPunct/>
              <w:topLinePunct w:val="0"/>
              <w:bidi w:val="0"/>
              <w:snapToGrid w:val="0"/>
              <w:spacing w:line="240" w:lineRule="auto"/>
              <w:ind w:left="0" w:leftChars="0" w:right="0" w:rightChars="0" w:firstLine="0" w:firstLineChars="0"/>
              <w:jc w:val="left"/>
              <w:rPr>
                <w:rFonts w:hint="eastAsia" w:cs="Calibri"/>
                <w:b/>
                <w:bCs/>
                <w:color w:val="auto"/>
                <w:sz w:val="24"/>
                <w:szCs w:val="24"/>
                <w:highlight w:val="none"/>
                <w:lang w:val="en-US" w:eastAsia="zh-CN"/>
              </w:rPr>
            </w:pPr>
          </w:p>
        </w:tc>
        <w:tc>
          <w:tcPr>
            <w:tcW w:w="1003" w:type="dxa"/>
            <w:noWrap w:val="0"/>
            <w:vAlign w:val="center"/>
          </w:tcPr>
          <w:p w14:paraId="4B2A5B71">
            <w:pPr>
              <w:pageBreakBefore w:val="0"/>
              <w:widowControl/>
              <w:kinsoku/>
              <w:wordWrap/>
              <w:overflowPunct/>
              <w:topLinePunct w:val="0"/>
              <w:bidi w:val="0"/>
              <w:snapToGrid w:val="0"/>
              <w:spacing w:line="240" w:lineRule="auto"/>
              <w:ind w:left="0" w:leftChars="0" w:right="0" w:rightChars="0" w:firstLine="0" w:firstLineChars="0"/>
              <w:jc w:val="center"/>
              <w:rPr>
                <w:rFonts w:hint="default" w:ascii="Calibri" w:hAnsi="Calibri" w:eastAsia="宋体" w:cs="Calibri"/>
                <w:b/>
                <w:kern w:val="2"/>
                <w:sz w:val="24"/>
                <w:szCs w:val="24"/>
                <w:lang w:val="en-US" w:eastAsia="zh-CN" w:bidi="ar-SA"/>
              </w:rPr>
            </w:pPr>
          </w:p>
        </w:tc>
        <w:tc>
          <w:tcPr>
            <w:tcW w:w="1051" w:type="dxa"/>
            <w:noWrap w:val="0"/>
            <w:vAlign w:val="center"/>
          </w:tcPr>
          <w:p w14:paraId="21B0A120">
            <w:pPr>
              <w:pageBreakBefore w:val="0"/>
              <w:widowControl/>
              <w:kinsoku/>
              <w:wordWrap/>
              <w:overflowPunct/>
              <w:topLinePunct w:val="0"/>
              <w:bidi w:val="0"/>
              <w:snapToGrid w:val="0"/>
              <w:spacing w:line="240" w:lineRule="auto"/>
              <w:ind w:left="0" w:leftChars="0" w:right="0" w:rightChars="0" w:firstLine="0" w:firstLineChars="0"/>
              <w:jc w:val="center"/>
              <w:rPr>
                <w:rFonts w:hint="default" w:cs="Calibri"/>
                <w:b/>
                <w:bCs/>
                <w:color w:val="auto"/>
                <w:sz w:val="24"/>
                <w:szCs w:val="24"/>
                <w:highlight w:val="none"/>
                <w:lang w:val="en-US" w:eastAsia="zh-CN"/>
              </w:rPr>
            </w:pPr>
            <w:r>
              <w:rPr>
                <w:rFonts w:hint="eastAsia" w:cs="Calibri"/>
                <w:b/>
                <w:bCs/>
                <w:color w:val="auto"/>
                <w:sz w:val="24"/>
                <w:szCs w:val="24"/>
                <w:highlight w:val="none"/>
                <w:lang w:val="en-US" w:eastAsia="zh-CN"/>
              </w:rPr>
              <w:t>43</w:t>
            </w:r>
          </w:p>
        </w:tc>
        <w:tc>
          <w:tcPr>
            <w:tcW w:w="4957" w:type="dxa"/>
            <w:noWrap w:val="0"/>
            <w:vAlign w:val="center"/>
          </w:tcPr>
          <w:p w14:paraId="34A2FA91">
            <w:pPr>
              <w:pageBreakBefore w:val="0"/>
              <w:widowControl/>
              <w:kinsoku/>
              <w:wordWrap/>
              <w:overflowPunct/>
              <w:topLinePunct w:val="0"/>
              <w:bidi w:val="0"/>
              <w:snapToGrid w:val="0"/>
              <w:spacing w:line="240" w:lineRule="auto"/>
              <w:ind w:left="0" w:leftChars="0" w:right="0" w:rightChars="0" w:firstLine="0" w:firstLineChars="0"/>
              <w:jc w:val="left"/>
              <w:rPr>
                <w:rFonts w:hint="eastAsia" w:ascii="宋体" w:hAnsi="宋体" w:eastAsia="宋体" w:cs="宋体"/>
                <w:b/>
                <w:i w:val="0"/>
                <w:iCs w:val="0"/>
                <w:color w:val="000000"/>
                <w:kern w:val="0"/>
                <w:sz w:val="21"/>
                <w:szCs w:val="21"/>
                <w:u w:val="none"/>
                <w:lang w:val="en-US" w:eastAsia="zh-CN" w:bidi="ar"/>
              </w:rPr>
            </w:pPr>
          </w:p>
        </w:tc>
      </w:tr>
      <w:tr w14:paraId="2CD2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70" w:type="dxa"/>
            <w:gridSpan w:val="5"/>
            <w:noWrap w:val="0"/>
            <w:vAlign w:val="center"/>
          </w:tcPr>
          <w:p w14:paraId="60DDEDE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color w:val="auto"/>
                <w:sz w:val="21"/>
                <w:szCs w:val="21"/>
                <w:highlight w:val="none"/>
                <w:u w:val="none"/>
              </w:rPr>
            </w:pPr>
            <w:r>
              <w:rPr>
                <w:rFonts w:hint="eastAsia" w:ascii="仿宋" w:hAnsi="仿宋" w:eastAsia="仿宋" w:cs="仿宋"/>
                <w:b w:val="0"/>
                <w:bCs/>
                <w:color w:val="auto"/>
                <w:sz w:val="21"/>
                <w:szCs w:val="21"/>
                <w:highlight w:val="none"/>
                <w:u w:val="none"/>
                <w:lang w:val="en-US" w:eastAsia="zh-CN"/>
              </w:rPr>
              <w:t>注：1、供应商</w:t>
            </w:r>
            <w:r>
              <w:rPr>
                <w:rFonts w:hint="eastAsia" w:ascii="仿宋" w:hAnsi="仿宋" w:eastAsia="仿宋" w:cs="仿宋"/>
                <w:b w:val="0"/>
                <w:bCs/>
                <w:color w:val="auto"/>
                <w:sz w:val="21"/>
                <w:szCs w:val="21"/>
                <w:highlight w:val="none"/>
                <w:u w:val="none"/>
              </w:rPr>
              <w:t>应</w:t>
            </w:r>
            <w:r>
              <w:rPr>
                <w:rFonts w:hint="eastAsia" w:ascii="仿宋" w:hAnsi="仿宋" w:eastAsia="仿宋" w:cs="仿宋"/>
                <w:b w:val="0"/>
                <w:bCs/>
                <w:color w:val="auto"/>
                <w:sz w:val="21"/>
                <w:szCs w:val="21"/>
                <w:highlight w:val="none"/>
                <w:u w:val="none"/>
                <w:lang w:eastAsia="zh-CN"/>
              </w:rPr>
              <w:t>当按国家相关法律法规，合理确定服务人员工资标准、</w:t>
            </w:r>
            <w:r>
              <w:rPr>
                <w:rFonts w:hint="eastAsia" w:ascii="仿宋" w:hAnsi="仿宋" w:eastAsia="仿宋" w:cs="仿宋"/>
                <w:b w:val="0"/>
                <w:bCs/>
                <w:color w:val="auto"/>
                <w:sz w:val="21"/>
                <w:szCs w:val="21"/>
                <w:highlight w:val="none"/>
                <w:u w:val="none"/>
              </w:rPr>
              <w:t>工作时间</w:t>
            </w:r>
            <w:r>
              <w:rPr>
                <w:rFonts w:hint="eastAsia" w:ascii="仿宋" w:hAnsi="仿宋" w:eastAsia="仿宋" w:cs="仿宋"/>
                <w:b w:val="0"/>
                <w:bCs/>
                <w:color w:val="auto"/>
                <w:sz w:val="21"/>
                <w:szCs w:val="21"/>
                <w:highlight w:val="none"/>
                <w:u w:val="none"/>
                <w:lang w:eastAsia="zh-CN"/>
              </w:rPr>
              <w:t>等</w:t>
            </w:r>
            <w:r>
              <w:rPr>
                <w:rFonts w:hint="eastAsia" w:ascii="仿宋" w:hAnsi="仿宋" w:eastAsia="仿宋" w:cs="仿宋"/>
                <w:b w:val="0"/>
                <w:bCs/>
                <w:color w:val="auto"/>
                <w:sz w:val="21"/>
                <w:szCs w:val="21"/>
                <w:highlight w:val="none"/>
                <w:u w:val="none"/>
              </w:rPr>
              <w:t>。</w:t>
            </w:r>
          </w:p>
          <w:p w14:paraId="5C75C78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b w:val="0"/>
                <w:bCs/>
                <w:color w:val="auto"/>
                <w:kern w:val="0"/>
                <w:sz w:val="21"/>
                <w:szCs w:val="21"/>
                <w:highlight w:val="none"/>
                <w:lang w:val="en-US" w:eastAsia="zh-CN" w:bidi="ar-SA"/>
              </w:rPr>
              <w:t>2、</w:t>
            </w:r>
            <w:r>
              <w:rPr>
                <w:rFonts w:hint="eastAsia" w:ascii="仿宋" w:hAnsi="仿宋" w:eastAsia="仿宋" w:cs="仿宋"/>
                <w:b w:val="0"/>
                <w:bCs/>
                <w:color w:val="auto"/>
                <w:sz w:val="21"/>
                <w:szCs w:val="21"/>
                <w:highlight w:val="none"/>
                <w:u w:val="none"/>
                <w:lang w:val="en-US" w:eastAsia="zh-CN"/>
              </w:rPr>
              <w:t>供应商应当自行为服务人员办理必需的保险，有关人员伤亡及第三者责任险均应当考虑在报价因素中（各项保险按国家相关政策缴纳）。</w:t>
            </w:r>
          </w:p>
        </w:tc>
      </w:tr>
    </w:tbl>
    <w:tbl>
      <w:tblPr>
        <w:tblStyle w:val="4"/>
        <w:tblW w:w="90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90"/>
        <w:gridCol w:w="2474"/>
        <w:gridCol w:w="3379"/>
        <w:gridCol w:w="1554"/>
      </w:tblGrid>
      <w:tr w14:paraId="6F01F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326789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474" w:type="dxa"/>
            <w:vMerge w:val="restart"/>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526188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  位</w:t>
            </w:r>
          </w:p>
        </w:tc>
        <w:tc>
          <w:tcPr>
            <w:tcW w:w="3379" w:type="dxa"/>
            <w:vMerge w:val="restart"/>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5069AF8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岗  位</w:t>
            </w:r>
          </w:p>
        </w:tc>
        <w:tc>
          <w:tcPr>
            <w:tcW w:w="1554" w:type="dxa"/>
            <w:vMerge w:val="restart"/>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3B6A9A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 数</w:t>
            </w:r>
          </w:p>
        </w:tc>
      </w:tr>
      <w:tr w14:paraId="19B67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3912E85F">
            <w:pPr>
              <w:jc w:val="center"/>
              <w:rPr>
                <w:rFonts w:hint="eastAsia" w:ascii="宋体" w:hAnsi="宋体" w:eastAsia="宋体" w:cs="宋体"/>
                <w:b/>
                <w:bCs/>
                <w:i w:val="0"/>
                <w:iCs w:val="0"/>
                <w:color w:val="000000"/>
                <w:sz w:val="24"/>
                <w:szCs w:val="24"/>
                <w:u w:val="none"/>
              </w:rPr>
            </w:pPr>
          </w:p>
        </w:tc>
        <w:tc>
          <w:tcPr>
            <w:tcW w:w="2474" w:type="dxa"/>
            <w:vMerge w:val="continue"/>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7360B7C8">
            <w:pPr>
              <w:jc w:val="center"/>
              <w:rPr>
                <w:rFonts w:hint="eastAsia" w:ascii="宋体" w:hAnsi="宋体" w:eastAsia="宋体" w:cs="宋体"/>
                <w:b/>
                <w:bCs/>
                <w:i w:val="0"/>
                <w:iCs w:val="0"/>
                <w:color w:val="000000"/>
                <w:sz w:val="24"/>
                <w:szCs w:val="24"/>
                <w:u w:val="none"/>
              </w:rPr>
            </w:pPr>
          </w:p>
        </w:tc>
        <w:tc>
          <w:tcPr>
            <w:tcW w:w="3379" w:type="dxa"/>
            <w:vMerge w:val="continue"/>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32FDD7FA">
            <w:pPr>
              <w:jc w:val="center"/>
              <w:rPr>
                <w:rFonts w:hint="eastAsia" w:ascii="宋体" w:hAnsi="宋体" w:eastAsia="宋体" w:cs="宋体"/>
                <w:b/>
                <w:bCs/>
                <w:i w:val="0"/>
                <w:iCs w:val="0"/>
                <w:color w:val="000000"/>
                <w:sz w:val="24"/>
                <w:szCs w:val="24"/>
                <w:u w:val="none"/>
              </w:rPr>
            </w:pPr>
          </w:p>
        </w:tc>
        <w:tc>
          <w:tcPr>
            <w:tcW w:w="1554" w:type="dxa"/>
            <w:vMerge w:val="continue"/>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54F31A47">
            <w:pPr>
              <w:jc w:val="center"/>
              <w:rPr>
                <w:rFonts w:hint="eastAsia" w:ascii="宋体" w:hAnsi="宋体" w:eastAsia="宋体" w:cs="宋体"/>
                <w:b/>
                <w:bCs/>
                <w:i w:val="0"/>
                <w:iCs w:val="0"/>
                <w:color w:val="000000"/>
                <w:sz w:val="24"/>
                <w:szCs w:val="24"/>
                <w:u w:val="none"/>
              </w:rPr>
            </w:pPr>
          </w:p>
        </w:tc>
      </w:tr>
      <w:tr w14:paraId="55B26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7261692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75908369">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大队机关</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5A1C3FFB">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88B011F">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r>
      <w:tr w14:paraId="62CD6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29DF1442">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4D3BE">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846258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水电维修人员</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C0487D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6F392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4CA516BB">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F3E9D6">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19EED56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会务员</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816BD4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114A2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006F36A3">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F74C5">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1EED70B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1B60B4B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r>
      <w:tr w14:paraId="1437C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113EB091">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2890F0E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车管所</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683797E3">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84C07F3">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r>
      <w:tr w14:paraId="079A5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25DFA13B">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844EA9">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30C047D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046338E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r>
      <w:tr w14:paraId="0B820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4FE081A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576F043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事故中队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6CDEEE66">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0519C5C7">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5554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73AE9EB2">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B9C2BC">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00BCAA3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758F38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r>
      <w:tr w14:paraId="54C95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nil"/>
              <w:right w:val="single" w:color="000000" w:sz="4" w:space="0"/>
            </w:tcBorders>
            <w:noWrap/>
            <w:vAlign w:val="center"/>
          </w:tcPr>
          <w:p w14:paraId="3F963856">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2474" w:type="dxa"/>
            <w:tcBorders>
              <w:top w:val="single" w:color="000000" w:sz="4" w:space="0"/>
              <w:left w:val="single" w:color="000000" w:sz="4" w:space="0"/>
              <w:bottom w:val="nil"/>
              <w:right w:val="single" w:color="000000" w:sz="4" w:space="0"/>
            </w:tcBorders>
            <w:noWrap w:val="0"/>
            <w:vAlign w:val="center"/>
          </w:tcPr>
          <w:p w14:paraId="5F4F95B7">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一中队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5B5B2A00">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5A114A20">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5C4B5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nil"/>
              <w:right w:val="single" w:color="000000" w:sz="4" w:space="0"/>
            </w:tcBorders>
            <w:noWrap/>
            <w:vAlign w:val="center"/>
          </w:tcPr>
          <w:p w14:paraId="1A094D5F">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w:t>
            </w:r>
          </w:p>
        </w:tc>
        <w:tc>
          <w:tcPr>
            <w:tcW w:w="2474" w:type="dxa"/>
            <w:tcBorders>
              <w:top w:val="single" w:color="000000" w:sz="4" w:space="0"/>
              <w:left w:val="single" w:color="000000" w:sz="4" w:space="0"/>
              <w:bottom w:val="nil"/>
              <w:right w:val="single" w:color="000000" w:sz="4" w:space="0"/>
            </w:tcBorders>
            <w:noWrap w:val="0"/>
            <w:vAlign w:val="center"/>
          </w:tcPr>
          <w:p w14:paraId="52FF77F5">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二中队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04B7881F">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1DB628B">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5275B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nil"/>
              <w:right w:val="single" w:color="000000" w:sz="4" w:space="0"/>
            </w:tcBorders>
            <w:noWrap/>
            <w:vAlign w:val="center"/>
          </w:tcPr>
          <w:p w14:paraId="772B36C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2474" w:type="dxa"/>
            <w:tcBorders>
              <w:top w:val="single" w:color="000000" w:sz="4" w:space="0"/>
              <w:left w:val="single" w:color="000000" w:sz="4" w:space="0"/>
              <w:bottom w:val="nil"/>
              <w:right w:val="single" w:color="000000" w:sz="4" w:space="0"/>
            </w:tcBorders>
            <w:noWrap w:val="0"/>
            <w:vAlign w:val="center"/>
          </w:tcPr>
          <w:p w14:paraId="61BD8724">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滨河新区中队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77E78A82">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30C84DAF">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28AD0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nil"/>
              <w:right w:val="single" w:color="000000" w:sz="4" w:space="0"/>
            </w:tcBorders>
            <w:noWrap/>
            <w:vAlign w:val="center"/>
          </w:tcPr>
          <w:p w14:paraId="61156887">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w:t>
            </w:r>
          </w:p>
        </w:tc>
        <w:tc>
          <w:tcPr>
            <w:tcW w:w="2474" w:type="dxa"/>
            <w:tcBorders>
              <w:top w:val="single" w:color="000000" w:sz="4" w:space="0"/>
              <w:left w:val="single" w:color="000000" w:sz="4" w:space="0"/>
              <w:bottom w:val="nil"/>
              <w:right w:val="single" w:color="000000" w:sz="4" w:space="0"/>
            </w:tcBorders>
            <w:noWrap w:val="0"/>
            <w:vAlign w:val="center"/>
          </w:tcPr>
          <w:p w14:paraId="7D2ADFB6">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西沙中队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80172C5">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45F7E46">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7D291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092D760C">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4D1AECB6">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店塔中队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9269276">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A429F9B">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r>
      <w:tr w14:paraId="4772F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54FE9791">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A65111">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4DB172C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105BF81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64960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6A8412D8">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7D5BE857">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大柳塔中队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79373AE3">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0579DCE9">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r>
      <w:tr w14:paraId="12F9E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17CFCE2D">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0867D">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5731BE0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1DE20F4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6717B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050A3C5F">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22561084">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中鸡中队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0E4E5DAA">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DE7EE20">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6DF15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73C84F2C">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A7D48D">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5905962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0535882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235FE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2BDB600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381BB0EC">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尔林兔中队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06FB9FE7">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BA4B679">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73736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2DA8E3E3">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1DCBB2">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50E1DB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221D725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452C8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752A5301">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7B86FE8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锦界中队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6D7B0792">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A789768">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r>
      <w:tr w14:paraId="6522D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55B4771F">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CD678E">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0"/>
            <w:vAlign w:val="center"/>
          </w:tcPr>
          <w:p w14:paraId="5411BC5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  卫</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22D8258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7B9B2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single" w:color="000000" w:sz="4" w:space="0"/>
              <w:right w:val="single" w:color="000000" w:sz="4" w:space="0"/>
            </w:tcBorders>
            <w:noWrap/>
            <w:vAlign w:val="center"/>
          </w:tcPr>
          <w:p w14:paraId="4AAB2B42">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13</w:t>
            </w:r>
          </w:p>
        </w:tc>
        <w:tc>
          <w:tcPr>
            <w:tcW w:w="2474" w:type="dxa"/>
            <w:tcBorders>
              <w:top w:val="single" w:color="000000" w:sz="4" w:space="0"/>
              <w:left w:val="single" w:color="000000" w:sz="4" w:space="0"/>
              <w:bottom w:val="single" w:color="000000" w:sz="4" w:space="0"/>
              <w:right w:val="single" w:color="000000" w:sz="4" w:space="0"/>
            </w:tcBorders>
            <w:noWrap w:val="0"/>
            <w:vAlign w:val="center"/>
          </w:tcPr>
          <w:p w14:paraId="0F69204C">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大保当中队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7110D40D">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38AAB6DB">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6E98A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single" w:color="000000" w:sz="4" w:space="0"/>
              <w:right w:val="single" w:color="000000" w:sz="4" w:space="0"/>
            </w:tcBorders>
            <w:noWrap/>
            <w:vAlign w:val="center"/>
          </w:tcPr>
          <w:p w14:paraId="625AED1F">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14</w:t>
            </w:r>
          </w:p>
        </w:tc>
        <w:tc>
          <w:tcPr>
            <w:tcW w:w="2474" w:type="dxa"/>
            <w:tcBorders>
              <w:top w:val="single" w:color="000000" w:sz="4" w:space="0"/>
              <w:left w:val="single" w:color="000000" w:sz="4" w:space="0"/>
              <w:bottom w:val="single" w:color="000000" w:sz="4" w:space="0"/>
              <w:right w:val="single" w:color="000000" w:sz="4" w:space="0"/>
            </w:tcBorders>
            <w:noWrap w:val="0"/>
            <w:vAlign w:val="center"/>
          </w:tcPr>
          <w:p w14:paraId="45C4F41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高家堡中队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51868E84">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6A0FBD0">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242F3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6E275452">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15</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1171987A">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神盘路中队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1FF3625E">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7EFE0D3">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6F8E5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5533FA32">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9E8893">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3C0824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锅炉工</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829D04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36408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restart"/>
            <w:tcBorders>
              <w:top w:val="single" w:color="000000" w:sz="4" w:space="0"/>
              <w:left w:val="single" w:color="000000" w:sz="4" w:space="0"/>
              <w:bottom w:val="single" w:color="000000" w:sz="4" w:space="0"/>
              <w:right w:val="single" w:color="000000" w:sz="4" w:space="0"/>
            </w:tcBorders>
            <w:noWrap/>
            <w:vAlign w:val="center"/>
          </w:tcPr>
          <w:p w14:paraId="2B2363D7">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16</w:t>
            </w:r>
          </w:p>
        </w:tc>
        <w:tc>
          <w:tcPr>
            <w:tcW w:w="2474" w:type="dxa"/>
            <w:vMerge w:val="restart"/>
            <w:tcBorders>
              <w:top w:val="single" w:color="000000" w:sz="4" w:space="0"/>
              <w:left w:val="single" w:color="000000" w:sz="4" w:space="0"/>
              <w:bottom w:val="single" w:color="000000" w:sz="4" w:space="0"/>
              <w:right w:val="single" w:color="000000" w:sz="4" w:space="0"/>
            </w:tcBorders>
            <w:noWrap w:val="0"/>
            <w:vAlign w:val="center"/>
          </w:tcPr>
          <w:p w14:paraId="6F37CF9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西沟中队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835BE14">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52C4E38C">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340D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vMerge w:val="continue"/>
            <w:tcBorders>
              <w:top w:val="single" w:color="000000" w:sz="4" w:space="0"/>
              <w:left w:val="single" w:color="000000" w:sz="4" w:space="0"/>
              <w:bottom w:val="single" w:color="000000" w:sz="4" w:space="0"/>
              <w:right w:val="single" w:color="000000" w:sz="4" w:space="0"/>
            </w:tcBorders>
            <w:noWrap/>
            <w:vAlign w:val="center"/>
          </w:tcPr>
          <w:p w14:paraId="206C8025">
            <w:pPr>
              <w:jc w:val="center"/>
              <w:rPr>
                <w:rFonts w:hint="eastAsia" w:ascii="仿宋" w:hAnsi="仿宋" w:eastAsia="仿宋" w:cs="仿宋"/>
                <w:i w:val="0"/>
                <w:iCs w:val="0"/>
                <w:color w:val="000000"/>
                <w:kern w:val="0"/>
                <w:sz w:val="24"/>
                <w:szCs w:val="24"/>
                <w:u w:val="none"/>
                <w:lang w:val="en-US" w:eastAsia="zh-CN" w:bidi="ar"/>
              </w:rPr>
            </w:pPr>
          </w:p>
        </w:tc>
        <w:tc>
          <w:tcPr>
            <w:tcW w:w="24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F3FC54">
            <w:pPr>
              <w:jc w:val="center"/>
              <w:rPr>
                <w:rFonts w:hint="eastAsia" w:ascii="仿宋" w:hAnsi="仿宋" w:eastAsia="仿宋" w:cs="仿宋"/>
                <w:i w:val="0"/>
                <w:iCs w:val="0"/>
                <w:color w:val="000000"/>
                <w:kern w:val="0"/>
                <w:sz w:val="24"/>
                <w:szCs w:val="24"/>
                <w:u w:val="none"/>
                <w:lang w:val="en-US" w:eastAsia="zh-CN" w:bidi="ar"/>
              </w:rPr>
            </w:pP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4289F7F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锅炉工</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31A5D1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36173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single" w:color="000000" w:sz="4" w:space="0"/>
              <w:right w:val="single" w:color="000000" w:sz="4" w:space="0"/>
            </w:tcBorders>
            <w:noWrap/>
            <w:vAlign w:val="center"/>
          </w:tcPr>
          <w:p w14:paraId="57E54A19">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17</w:t>
            </w:r>
          </w:p>
        </w:tc>
        <w:tc>
          <w:tcPr>
            <w:tcW w:w="2474" w:type="dxa"/>
            <w:tcBorders>
              <w:top w:val="single" w:color="000000" w:sz="4" w:space="0"/>
              <w:left w:val="single" w:color="000000" w:sz="4" w:space="0"/>
              <w:bottom w:val="single" w:color="000000" w:sz="4" w:space="0"/>
              <w:right w:val="single" w:color="000000" w:sz="4" w:space="0"/>
            </w:tcBorders>
            <w:noWrap w:val="0"/>
            <w:vAlign w:val="center"/>
          </w:tcPr>
          <w:p w14:paraId="0AAD5D8D">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沿黄路中队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265D1581">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1FE2731">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542AB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single" w:color="000000" w:sz="4" w:space="0"/>
              <w:right w:val="single" w:color="000000" w:sz="4" w:space="0"/>
            </w:tcBorders>
            <w:noWrap/>
            <w:vAlign w:val="center"/>
          </w:tcPr>
          <w:p w14:paraId="12B6F049">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18</w:t>
            </w:r>
          </w:p>
        </w:tc>
        <w:tc>
          <w:tcPr>
            <w:tcW w:w="2474" w:type="dxa"/>
            <w:tcBorders>
              <w:top w:val="single" w:color="000000" w:sz="4" w:space="0"/>
              <w:left w:val="single" w:color="000000" w:sz="4" w:space="0"/>
              <w:bottom w:val="single" w:color="000000" w:sz="4" w:space="0"/>
              <w:right w:val="single" w:color="000000" w:sz="4" w:space="0"/>
            </w:tcBorders>
            <w:noWrap w:val="0"/>
            <w:vAlign w:val="center"/>
          </w:tcPr>
          <w:p w14:paraId="6A412314">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柠条塔中队</w:t>
            </w:r>
          </w:p>
        </w:tc>
        <w:tc>
          <w:tcPr>
            <w:tcW w:w="3379" w:type="dxa"/>
            <w:tcBorders>
              <w:top w:val="single" w:color="000000" w:sz="4" w:space="0"/>
              <w:left w:val="single" w:color="000000" w:sz="4" w:space="0"/>
              <w:bottom w:val="single" w:color="000000" w:sz="4" w:space="0"/>
              <w:right w:val="single" w:color="000000" w:sz="4" w:space="0"/>
            </w:tcBorders>
            <w:noWrap/>
            <w:vAlign w:val="center"/>
          </w:tcPr>
          <w:p w14:paraId="0717E840">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  洁</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81E7D4F">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4634D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0" w:type="dxa"/>
            <w:tcBorders>
              <w:top w:val="single" w:color="000000" w:sz="4" w:space="0"/>
              <w:left w:val="single" w:color="000000" w:sz="4" w:space="0"/>
              <w:bottom w:val="single" w:color="000000" w:sz="4" w:space="0"/>
              <w:right w:val="single" w:color="000000" w:sz="4" w:space="0"/>
            </w:tcBorders>
            <w:noWrap/>
            <w:vAlign w:val="center"/>
          </w:tcPr>
          <w:p w14:paraId="2B2B430F">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19</w:t>
            </w:r>
          </w:p>
        </w:tc>
        <w:tc>
          <w:tcPr>
            <w:tcW w:w="2474" w:type="dxa"/>
            <w:tcBorders>
              <w:top w:val="single" w:color="000000" w:sz="4" w:space="0"/>
              <w:left w:val="single" w:color="000000" w:sz="4" w:space="0"/>
              <w:bottom w:val="single" w:color="000000" w:sz="4" w:space="0"/>
              <w:right w:val="single" w:color="000000" w:sz="4" w:space="0"/>
            </w:tcBorders>
            <w:noWrap w:val="0"/>
            <w:vAlign w:val="center"/>
          </w:tcPr>
          <w:p w14:paraId="4CCD1E53">
            <w:pPr>
              <w:pageBreakBefore w:val="0"/>
              <w:widowControl/>
              <w:kinsoku/>
              <w:wordWrap/>
              <w:overflowPunct/>
              <w:topLinePunct w:val="0"/>
              <w:bidi w:val="0"/>
              <w:snapToGrid w:val="0"/>
              <w:spacing w:line="240" w:lineRule="auto"/>
              <w:ind w:left="0" w:leftChars="0" w:right="0" w:rightChars="0" w:firstLine="0" w:firstLineChars="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管理/培训</w:t>
            </w:r>
          </w:p>
        </w:tc>
        <w:tc>
          <w:tcPr>
            <w:tcW w:w="3379" w:type="dxa"/>
            <w:tcBorders>
              <w:top w:val="single" w:color="000000" w:sz="4" w:space="0"/>
              <w:left w:val="single" w:color="000000" w:sz="4" w:space="0"/>
              <w:bottom w:val="single" w:color="000000" w:sz="4" w:space="0"/>
              <w:right w:val="single" w:color="000000" w:sz="4" w:space="0"/>
            </w:tcBorders>
            <w:noWrap w:val="0"/>
            <w:vAlign w:val="center"/>
          </w:tcPr>
          <w:p w14:paraId="368C49E7">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项目经理</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9C50E23">
            <w:pPr>
              <w:pageBreakBefore w:val="0"/>
              <w:widowControl/>
              <w:kinsoku/>
              <w:wordWrap/>
              <w:overflowPunct/>
              <w:topLinePunct w:val="0"/>
              <w:bidi w:val="0"/>
              <w:snapToGrid w:val="0"/>
              <w:spacing w:line="240" w:lineRule="auto"/>
              <w:ind w:left="0" w:leftChars="0" w:right="0" w:rightChars="0" w:firstLine="0" w:firstLineChars="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bl>
    <w:p w14:paraId="2515113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F48E9E"/>
    <w:multiLevelType w:val="singleLevel"/>
    <w:tmpl w:val="FBF48E9E"/>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DA6386"/>
    <w:rsid w:val="2FDA63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2026-06-11T08:43:00Z</dcterms:created>
  <dc:creator>1210</dc:creator>
  <cp:lastModifiedBy>1210</cp:lastModifiedBy>
  <dcterms:modified xsi:type="dcterms:W3CDTF">2026-06-11T08:44:14Z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F21DD74A1A7947989FD6A689EE439277_11</vt:lpwstr>
  </property>
  <property fmtid="{D5CDD505-2E9C-101B-9397-08002B2CF9AE}" pid="4" name="KSOTemplateDocerSaveRecord">
    <vt:lpwstr>eyJoZGlkIjoiYWIwNzE5YjcxMTk0OTEyODIxY2Y0NDcxNzViMWY5ZmMiLCJ1c2VySWQiOiIyNTk2MDgzMTQifQ==</vt:lpwstr>
  </property>
</Properties>
</file>