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FBF87">
      <w:pPr>
        <w:spacing w:line="480" w:lineRule="exact"/>
        <w:ind w:left="359" w:leftChars="171" w:right="651" w:rightChars="310"/>
        <w:jc w:val="center"/>
        <w:rPr>
          <w:rFonts w:hint="eastAsia" w:ascii="仿宋" w:hAnsi="仿宋" w:eastAsia="仿宋" w:cs="仿宋"/>
          <w:b/>
          <w:sz w:val="24"/>
          <w:szCs w:val="24"/>
          <w:highlight w:val="none"/>
          <w:lang w:val="en-US" w:eastAsia="zh-CN" w:bidi="zh-CN"/>
        </w:rPr>
      </w:pPr>
      <w:r>
        <w:rPr>
          <w:rFonts w:hint="eastAsia" w:ascii="仿宋" w:hAnsi="仿宋" w:eastAsia="仿宋" w:cs="仿宋"/>
          <w:b/>
          <w:sz w:val="24"/>
          <w:szCs w:val="24"/>
          <w:highlight w:val="none"/>
          <w:lang w:val="en-US" w:eastAsia="zh-CN" w:bidi="zh-CN"/>
        </w:rPr>
        <w:t>磋商保证金缴纳凭证</w:t>
      </w:r>
    </w:p>
    <w:p w14:paraId="491D0D68">
      <w:pPr>
        <w:spacing w:line="560" w:lineRule="exact"/>
        <w:ind w:firstLine="241" w:firstLineChars="100"/>
        <w:jc w:val="center"/>
        <w:rPr>
          <w:rFonts w:hint="eastAsia" w:ascii="仿宋" w:hAnsi="仿宋" w:eastAsia="仿宋" w:cs="仿宋"/>
          <w:b/>
          <w:color w:val="000000"/>
          <w:sz w:val="24"/>
          <w:highlight w:val="none"/>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14:paraId="2B0A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4" w:hRule="atLeast"/>
        </w:trPr>
        <w:tc>
          <w:tcPr>
            <w:tcW w:w="9514" w:type="dxa"/>
            <w:noWrap w:val="0"/>
            <w:vAlign w:val="top"/>
          </w:tcPr>
          <w:p w14:paraId="075F0A77">
            <w:pPr>
              <w:spacing w:line="560" w:lineRule="exact"/>
              <w:rPr>
                <w:rFonts w:hint="eastAsia" w:ascii="仿宋" w:hAnsi="仿宋" w:eastAsia="仿宋" w:cs="仿宋"/>
                <w:color w:val="000000"/>
                <w:sz w:val="24"/>
                <w:highlight w:val="none"/>
              </w:rPr>
            </w:pPr>
          </w:p>
          <w:p w14:paraId="174BBB83">
            <w:pPr>
              <w:spacing w:line="560" w:lineRule="exact"/>
              <w:rPr>
                <w:rFonts w:hint="eastAsia" w:ascii="仿宋" w:hAnsi="仿宋" w:eastAsia="仿宋" w:cs="仿宋"/>
                <w:color w:val="000000"/>
                <w:sz w:val="24"/>
                <w:highlight w:val="none"/>
              </w:rPr>
            </w:pPr>
          </w:p>
          <w:p w14:paraId="13C8165D">
            <w:pPr>
              <w:spacing w:line="560" w:lineRule="exact"/>
              <w:rPr>
                <w:rFonts w:hint="eastAsia" w:ascii="仿宋" w:hAnsi="仿宋" w:eastAsia="仿宋" w:cs="仿宋"/>
                <w:b/>
                <w:bCs/>
                <w:color w:val="000000"/>
                <w:sz w:val="24"/>
                <w:highlight w:val="none"/>
              </w:rPr>
            </w:pPr>
          </w:p>
          <w:p w14:paraId="3AC0875D">
            <w:pPr>
              <w:spacing w:line="560" w:lineRule="exact"/>
              <w:jc w:val="center"/>
              <w:rPr>
                <w:rFonts w:hint="eastAsia" w:ascii="仿宋" w:hAnsi="仿宋" w:eastAsia="仿宋" w:cs="仿宋"/>
                <w:color w:val="000000"/>
                <w:sz w:val="24"/>
                <w:highlight w:val="none"/>
              </w:rPr>
            </w:pPr>
            <w:r>
              <w:rPr>
                <w:rFonts w:hint="eastAsia" w:ascii="仿宋" w:hAnsi="仿宋" w:eastAsia="仿宋" w:cs="仿宋"/>
                <w:color w:val="000000"/>
                <w:position w:val="4"/>
                <w:sz w:val="24"/>
                <w:highlight w:val="none"/>
                <w:lang w:val="en-US" w:eastAsia="zh-CN"/>
              </w:rPr>
              <w:t xml:space="preserve">  </w:t>
            </w:r>
            <w:r>
              <w:rPr>
                <w:rFonts w:hint="eastAsia" w:ascii="仿宋" w:hAnsi="仿宋" w:eastAsia="仿宋" w:cs="仿宋"/>
                <w:color w:val="000000"/>
                <w:position w:val="4"/>
                <w:sz w:val="21"/>
                <w:szCs w:val="21"/>
                <w:highlight w:val="none"/>
                <w:lang w:val="en-US" w:eastAsia="zh-CN"/>
              </w:rPr>
              <w:t>磋商</w:t>
            </w:r>
            <w:r>
              <w:rPr>
                <w:rFonts w:hint="eastAsia" w:ascii="仿宋" w:hAnsi="仿宋" w:eastAsia="仿宋" w:cs="仿宋"/>
                <w:color w:val="000000"/>
                <w:position w:val="4"/>
                <w:sz w:val="21"/>
                <w:szCs w:val="21"/>
                <w:highlight w:val="none"/>
              </w:rPr>
              <w:t>保证金</w:t>
            </w:r>
            <w:r>
              <w:rPr>
                <w:rFonts w:hint="eastAsia" w:ascii="仿宋" w:hAnsi="仿宋" w:eastAsia="仿宋" w:cs="仿宋"/>
                <w:color w:val="000000"/>
                <w:position w:val="4"/>
                <w:sz w:val="21"/>
                <w:szCs w:val="21"/>
                <w:highlight w:val="none"/>
                <w:lang w:eastAsia="zh-CN"/>
              </w:rPr>
              <w:t>缴纳</w:t>
            </w:r>
            <w:r>
              <w:rPr>
                <w:rFonts w:hint="eastAsia" w:ascii="仿宋" w:hAnsi="仿宋" w:eastAsia="仿宋" w:cs="仿宋"/>
                <w:color w:val="000000"/>
                <w:position w:val="4"/>
                <w:sz w:val="21"/>
                <w:szCs w:val="21"/>
                <w:highlight w:val="none"/>
              </w:rPr>
              <w:t>凭证</w:t>
            </w:r>
          </w:p>
        </w:tc>
      </w:tr>
    </w:tbl>
    <w:p w14:paraId="7CD3537B">
      <w:pPr>
        <w:spacing w:line="560" w:lineRule="exact"/>
        <w:ind w:firstLine="480" w:firstLineChars="200"/>
        <w:rPr>
          <w:rFonts w:hint="eastAsia" w:ascii="仿宋" w:hAnsi="仿宋" w:eastAsia="仿宋" w:cs="仿宋"/>
          <w:color w:val="000000"/>
          <w:sz w:val="24"/>
          <w:highlight w:val="none"/>
        </w:rPr>
      </w:pPr>
    </w:p>
    <w:p w14:paraId="4549D195">
      <w:pPr>
        <w:spacing w:line="560" w:lineRule="exact"/>
        <w:ind w:firstLine="480" w:firstLineChars="200"/>
        <w:rPr>
          <w:rFonts w:hint="eastAsia" w:ascii="仿宋" w:hAnsi="仿宋" w:eastAsia="仿宋" w:cs="仿宋"/>
          <w:color w:val="000000"/>
          <w:sz w:val="24"/>
          <w:highlight w:val="none"/>
        </w:rPr>
      </w:pPr>
    </w:p>
    <w:p w14:paraId="4F923DBF">
      <w:pPr>
        <w:spacing w:line="560" w:lineRule="exact"/>
        <w:ind w:firstLine="480" w:firstLineChars="200"/>
        <w:rPr>
          <w:rFonts w:hint="eastAsia" w:ascii="仿宋" w:hAnsi="仿宋" w:eastAsia="仿宋" w:cs="仿宋"/>
          <w:color w:val="000000"/>
          <w:sz w:val="24"/>
          <w:highlight w:val="none"/>
        </w:rPr>
      </w:pPr>
    </w:p>
    <w:p w14:paraId="0EDDB0E7">
      <w:pPr>
        <w:pStyle w:val="3"/>
        <w:bidi w:val="0"/>
        <w:rPr>
          <w:rFonts w:hint="eastAsia" w:ascii="仿宋" w:hAnsi="仿宋" w:eastAsia="仿宋" w:cs="仿宋"/>
          <w:color w:val="000000"/>
          <w:sz w:val="28"/>
          <w:szCs w:val="28"/>
          <w:highlight w:val="none"/>
        </w:rPr>
      </w:pPr>
      <w:bookmarkStart w:id="0" w:name="_Toc1395"/>
      <w:r>
        <w:rPr>
          <w:rFonts w:hint="eastAsia" w:ascii="仿宋" w:hAnsi="仿宋" w:eastAsia="仿宋" w:cs="仿宋"/>
          <w:color w:val="000000"/>
          <w:sz w:val="28"/>
          <w:szCs w:val="28"/>
          <w:highlight w:val="none"/>
        </w:rPr>
        <w:br w:type="page"/>
      </w:r>
      <w:bookmarkEnd w:id="0"/>
      <w:bookmarkStart w:id="1" w:name="_GoBack"/>
      <w:bookmarkEnd w:id="1"/>
    </w:p>
    <w:p w14:paraId="1A3AB958">
      <w:pPr>
        <w:spacing w:line="480" w:lineRule="exact"/>
        <w:ind w:left="359" w:leftChars="171" w:right="651" w:rightChars="310"/>
        <w:jc w:val="center"/>
        <w:rPr>
          <w:rFonts w:hint="eastAsia" w:ascii="仿宋" w:hAnsi="仿宋" w:eastAsia="仿宋" w:cs="仿宋"/>
          <w:b/>
          <w:sz w:val="24"/>
          <w:szCs w:val="24"/>
          <w:highlight w:val="none"/>
          <w:lang w:val="en-US" w:eastAsia="zh-CN" w:bidi="zh-CN"/>
        </w:rPr>
      </w:pPr>
      <w:r>
        <w:rPr>
          <w:rFonts w:hint="eastAsia" w:ascii="仿宋" w:hAnsi="仿宋" w:eastAsia="仿宋" w:cs="仿宋"/>
          <w:b/>
          <w:sz w:val="24"/>
          <w:szCs w:val="24"/>
          <w:highlight w:val="none"/>
          <w:lang w:val="en-US" w:eastAsia="zh-CN" w:bidi="zh-CN"/>
        </w:rPr>
        <w:t>交易保证金信用承诺书（如有提供）</w:t>
      </w:r>
    </w:p>
    <w:p w14:paraId="5F015CE8">
      <w:pPr>
        <w:pStyle w:val="3"/>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u w:val="single"/>
          <w:lang w:eastAsia="zh-CN"/>
        </w:rPr>
        <w:t>（</w:t>
      </w:r>
      <w:r>
        <w:rPr>
          <w:rFonts w:hint="eastAsia" w:ascii="仿宋" w:hAnsi="仿宋" w:eastAsia="仿宋" w:cs="仿宋"/>
          <w:b w:val="0"/>
          <w:bCs w:val="0"/>
          <w:sz w:val="21"/>
          <w:szCs w:val="21"/>
          <w:u w:val="single"/>
        </w:rPr>
        <w:t>采购单位名称</w:t>
      </w:r>
      <w:r>
        <w:rPr>
          <w:rFonts w:hint="eastAsia" w:ascii="仿宋" w:hAnsi="仿宋" w:eastAsia="仿宋" w:cs="仿宋"/>
          <w:b w:val="0"/>
          <w:bCs w:val="0"/>
          <w:sz w:val="21"/>
          <w:szCs w:val="21"/>
          <w:u w:val="single"/>
          <w:lang w:eastAsia="zh-CN"/>
        </w:rPr>
        <w:t>）</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为维护公平、公正、公开的招标采购市场秩序，树立诚实守信的投标人供应</w:t>
      </w:r>
    </w:p>
    <w:p w14:paraId="08D2CCD2">
      <w:pPr>
        <w:pStyle w:val="3"/>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t>商形象，我单位自愿作出以下承诺</w:t>
      </w:r>
      <w:r>
        <w:rPr>
          <w:rFonts w:hint="eastAsia" w:ascii="仿宋" w:hAnsi="仿宋" w:eastAsia="仿宋" w:cs="仿宋"/>
          <w:b w:val="0"/>
          <w:bCs w:val="0"/>
          <w:sz w:val="21"/>
          <w:szCs w:val="21"/>
          <w:lang w:eastAsia="zh-CN"/>
        </w:rPr>
        <w:t>：</w:t>
      </w:r>
    </w:p>
    <w:p w14:paraId="6B42ACCF">
      <w:pPr>
        <w:pStyle w:val="3"/>
        <w:keepNext w:val="0"/>
        <w:keepLines w:val="0"/>
        <w:pageBreakBefore w:val="0"/>
        <w:widowControl/>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t>单位名称</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统一社会信用代码</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法定代表人</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地址和联系电话</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一、我单位具备承担招标采购项目的能力，自愿参加</w:t>
      </w:r>
      <w:r>
        <w:rPr>
          <w:rFonts w:hint="eastAsia" w:ascii="仿宋" w:hAnsi="仿宋" w:eastAsia="仿宋" w:cs="仿宋"/>
          <w:b w:val="0"/>
          <w:bCs w:val="0"/>
          <w:sz w:val="21"/>
          <w:szCs w:val="21"/>
          <w:lang w:val="en-US" w:eastAsia="zh-CN"/>
        </w:rPr>
        <w:t>（</w:t>
      </w:r>
      <w:r>
        <w:rPr>
          <w:rFonts w:hint="eastAsia" w:ascii="仿宋" w:hAnsi="仿宋" w:eastAsia="仿宋" w:cs="仿宋"/>
          <w:b w:val="0"/>
          <w:bCs w:val="0"/>
          <w:sz w:val="21"/>
          <w:szCs w:val="21"/>
          <w:u w:val="single"/>
          <w:lang w:val="en-US" w:eastAsia="zh-CN"/>
        </w:rPr>
        <w:t xml:space="preserve">       </w:t>
      </w:r>
      <w:r>
        <w:rPr>
          <w:rFonts w:hint="eastAsia" w:ascii="仿宋" w:hAnsi="仿宋" w:eastAsia="仿宋" w:cs="仿宋"/>
          <w:b w:val="0"/>
          <w:bCs w:val="0"/>
          <w:sz w:val="21"/>
          <w:szCs w:val="21"/>
          <w:u w:val="single"/>
        </w:rPr>
        <w:t>项目名称</w:t>
      </w:r>
      <w:r>
        <w:rPr>
          <w:rFonts w:hint="eastAsia" w:ascii="仿宋" w:hAnsi="仿宋" w:eastAsia="仿宋" w:cs="仿宋"/>
          <w:b w:val="0"/>
          <w:bCs w:val="0"/>
          <w:sz w:val="21"/>
          <w:szCs w:val="21"/>
          <w:lang w:eastAsia="zh-CN"/>
        </w:rPr>
        <w:t>）合同包号：</w:t>
      </w:r>
      <w:r>
        <w:rPr>
          <w:rFonts w:hint="eastAsia" w:ascii="仿宋" w:hAnsi="仿宋" w:eastAsia="仿宋" w:cs="仿宋"/>
          <w:b w:val="0"/>
          <w:bCs w:val="0"/>
          <w:sz w:val="21"/>
          <w:szCs w:val="21"/>
          <w:u w:val="single"/>
          <w:lang w:val="en-US" w:eastAsia="zh-CN"/>
        </w:rPr>
        <w:t xml:space="preserve">  </w:t>
      </w:r>
      <w:r>
        <w:rPr>
          <w:rFonts w:hint="eastAsia" w:ascii="仿宋" w:hAnsi="仿宋" w:eastAsia="仿宋" w:cs="仿宋"/>
          <w:b w:val="0"/>
          <w:bCs w:val="0"/>
          <w:sz w:val="21"/>
          <w:szCs w:val="21"/>
        </w:rPr>
        <w:t>招标采购活动，严格遵守《中华人民共和国招标投标法》《中华人民共和国政府采购法》及相关法律法规，依法守信，诚信履约，自觉执行招标采购活动的各项规定</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二、按照国家公共信用和行业、地方、第三方信用体系建设实践，我单位属于地方公共信用</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行业信用评价、第三方信用评价</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选其一打钩</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评价“诚信企业”。以上信用评价结果及政策文件附后。</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三、我单位如有发生下述任何一种违约行为，自愿承担相关法</w:t>
      </w:r>
      <w:r>
        <w:rPr>
          <w:rFonts w:hint="eastAsia" w:ascii="仿宋" w:hAnsi="仿宋" w:eastAsia="仿宋" w:cs="仿宋"/>
          <w:b w:val="0"/>
          <w:bCs w:val="0"/>
          <w:sz w:val="21"/>
          <w:szCs w:val="21"/>
          <w:highlight w:val="none"/>
        </w:rPr>
        <w:t>律责任，5年内自动放弃在宝鸡市项目招标采购中使用《交易保证金信用承诺书》资格。并于收到招标人采购人书面通知7个工作日内，将文件规定的投标保证金足额缴纳至招标人指定账户予以没收，作为处罚。如若拒交，招标人采购人优先选择市公共资源交易中心认可的宝鸡商事纠纷信用调解中心进行调解或仲裁或诉讼。交易中心有权取消失信主体在宝鸡参与招标采购、进场交易等权益。</w:t>
      </w:r>
      <w:r>
        <w:rPr>
          <w:rFonts w:hint="eastAsia" w:ascii="仿宋" w:hAnsi="仿宋" w:eastAsia="仿宋" w:cs="仿宋"/>
          <w:b w:val="0"/>
          <w:bCs w:val="0"/>
          <w:sz w:val="21"/>
          <w:szCs w:val="21"/>
          <w:highlight w:val="none"/>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一</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在招标采购文件中规定的有效期内撤销投标采购文件</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二</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中标后在规定期限内无正当理由不与招标人采购人签订合同，或者未按招标采购文件规定提交履约保证金</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三</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未按照宝鸡市公共资源交易规定，及时足额缴纳进场交易服务费，或仍有拖欠交易服务费</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四</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行政监管机构认定投标采购人有串通投标或弄虚作假等违法违纪行为</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五</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法律法规规定的其他情形。</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四、同意将承诺和失诺信息纳入宝鸡市公共资源交易领域信用记录并归集至信用中国</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陕西宝鸡</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等信用平台合规应用。</w:t>
      </w:r>
    </w:p>
    <w:p w14:paraId="26AE2E32">
      <w:pPr>
        <w:pStyle w:val="3"/>
        <w:keepNext w:val="0"/>
        <w:keepLines w:val="0"/>
        <w:pageBreakBefore w:val="0"/>
        <w:widowControl/>
        <w:kinsoku/>
        <w:wordWrap/>
        <w:overflowPunct/>
        <w:topLinePunct w:val="0"/>
        <w:autoSpaceDE/>
        <w:autoSpaceDN/>
        <w:bidi w:val="0"/>
        <w:adjustRightInd/>
        <w:snapToGrid/>
        <w:spacing w:after="0" w:line="560" w:lineRule="exact"/>
        <w:ind w:left="420" w:leftChars="200" w:firstLine="0" w:firstLineChars="0"/>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t>特此承诺。</w:t>
      </w:r>
    </w:p>
    <w:p w14:paraId="7A46F43D">
      <w:pPr>
        <w:pStyle w:val="3"/>
        <w:keepNext w:val="0"/>
        <w:keepLines w:val="0"/>
        <w:pageBreakBefore w:val="0"/>
        <w:widowControl/>
        <w:kinsoku/>
        <w:wordWrap/>
        <w:overflowPunct/>
        <w:topLinePunct w:val="0"/>
        <w:autoSpaceDE/>
        <w:autoSpaceDN/>
        <w:bidi w:val="0"/>
        <w:adjustRightInd/>
        <w:snapToGrid/>
        <w:spacing w:after="0" w:line="560" w:lineRule="exact"/>
        <w:ind w:left="420" w:leftChars="200" w:firstLine="0" w:firstLineChars="0"/>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附件</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信用评价结果及政策依据文件</w:t>
      </w:r>
    </w:p>
    <w:p w14:paraId="5F7AEF77">
      <w:pPr>
        <w:pStyle w:val="3"/>
        <w:keepNext w:val="0"/>
        <w:keepLines w:val="0"/>
        <w:pageBreakBefore w:val="0"/>
        <w:widowControl/>
        <w:kinsoku/>
        <w:wordWrap/>
        <w:overflowPunct/>
        <w:topLinePunct w:val="0"/>
        <w:autoSpaceDE/>
        <w:autoSpaceDN/>
        <w:bidi w:val="0"/>
        <w:adjustRightInd/>
        <w:snapToGrid/>
        <w:spacing w:after="0" w:line="560" w:lineRule="exact"/>
        <w:ind w:left="420" w:leftChars="200" w:firstLine="0" w:firstLineChars="0"/>
        <w:textAlignment w:val="auto"/>
        <w:rPr>
          <w:rFonts w:hint="eastAsia" w:ascii="仿宋" w:hAnsi="仿宋" w:eastAsia="仿宋" w:cs="仿宋"/>
          <w:b w:val="0"/>
          <w:bCs w:val="0"/>
          <w:sz w:val="21"/>
          <w:szCs w:val="21"/>
        </w:rPr>
      </w:pPr>
    </w:p>
    <w:p w14:paraId="2FF3A881">
      <w:pPr>
        <w:pStyle w:val="9"/>
        <w:numPr>
          <w:ilvl w:val="0"/>
          <w:numId w:val="0"/>
        </w:numPr>
        <w:bidi w:val="0"/>
        <w:spacing w:line="480" w:lineRule="auto"/>
        <w:ind w:leftChars="0"/>
        <w:jc w:val="both"/>
        <w:rPr>
          <w:rFonts w:hint="eastAsia" w:ascii="仿宋" w:hAnsi="仿宋" w:eastAsia="仿宋" w:cs="仿宋"/>
          <w:b w:val="0"/>
          <w:bCs w:val="0"/>
          <w:sz w:val="21"/>
          <w:szCs w:val="21"/>
          <w:lang w:eastAsia="zh-CN"/>
        </w:rPr>
      </w:pPr>
      <w:r>
        <w:rPr>
          <w:rFonts w:hint="eastAsia" w:ascii="仿宋" w:hAnsi="仿宋" w:eastAsia="仿宋" w:cs="仿宋"/>
          <w:b w:val="0"/>
          <w:bCs w:val="0"/>
          <w:sz w:val="21"/>
          <w:szCs w:val="21"/>
        </w:rPr>
        <w:t>投标人供应商</w:t>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法定代表人或</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单位名称</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盖章</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授权代表</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签字或签章</w:t>
      </w:r>
      <w:r>
        <w:rPr>
          <w:rFonts w:hint="eastAsia" w:ascii="仿宋" w:hAnsi="仿宋" w:eastAsia="仿宋" w:cs="仿宋"/>
          <w:b w:val="0"/>
          <w:bCs w:val="0"/>
          <w:sz w:val="21"/>
          <w:szCs w:val="21"/>
          <w:lang w:eastAsia="zh-CN"/>
        </w:rPr>
        <w:t>）</w:t>
      </w:r>
    </w:p>
    <w:p w14:paraId="1887EB9A">
      <w:pPr>
        <w:spacing w:line="480" w:lineRule="auto"/>
        <w:rPr>
          <w:rFonts w:hint="eastAsia" w:ascii="仿宋" w:hAnsi="仿宋" w:eastAsia="仿宋" w:cs="仿宋"/>
          <w:b w:val="0"/>
          <w:bCs w:val="0"/>
          <w:sz w:val="21"/>
          <w:szCs w:val="21"/>
          <w:lang w:eastAsia="zh-CN"/>
        </w:rPr>
      </w:pPr>
    </w:p>
    <w:p w14:paraId="0749CB81">
      <w:pPr>
        <w:pStyle w:val="3"/>
        <w:rPr>
          <w:rFonts w:hint="eastAsia"/>
          <w:lang w:eastAsia="zh-CN"/>
        </w:rPr>
      </w:pPr>
    </w:p>
    <w:p w14:paraId="0E70BDAA">
      <w:pPr>
        <w:pStyle w:val="9"/>
        <w:numPr>
          <w:ilvl w:val="0"/>
          <w:numId w:val="0"/>
        </w:numPr>
        <w:bidi w:val="0"/>
        <w:ind w:leftChars="0" w:firstLine="4200" w:firstLineChars="2000"/>
        <w:jc w:val="both"/>
        <w:rPr>
          <w:rFonts w:hint="eastAsia" w:ascii="仿宋" w:hAnsi="仿宋" w:eastAsia="仿宋" w:cs="仿宋"/>
          <w:color w:val="000000"/>
          <w:sz w:val="21"/>
          <w:szCs w:val="21"/>
          <w:highlight w:val="none"/>
        </w:rPr>
      </w:pPr>
      <w:r>
        <w:rPr>
          <w:rFonts w:hint="eastAsia" w:ascii="仿宋" w:hAnsi="仿宋" w:eastAsia="仿宋" w:cs="仿宋"/>
          <w:b w:val="0"/>
          <w:bCs w:val="0"/>
          <w:sz w:val="21"/>
          <w:szCs w:val="21"/>
          <w:lang w:val="en-US" w:eastAsia="zh-CN"/>
        </w:rPr>
        <w:t>年    月    日</w:t>
      </w:r>
      <w:r>
        <w:rPr>
          <w:rFonts w:hint="eastAsia" w:ascii="仿宋" w:hAnsi="仿宋" w:eastAsia="仿宋" w:cs="仿宋"/>
          <w:b w:val="0"/>
          <w:bCs w:val="0"/>
          <w:sz w:val="21"/>
          <w:szCs w:val="21"/>
        </w:rPr>
        <w:br w:type="textWrapping"/>
      </w:r>
    </w:p>
    <w:p w14:paraId="52A6CC0A">
      <w:pPr>
        <w:pStyle w:val="9"/>
        <w:numPr>
          <w:ilvl w:val="0"/>
          <w:numId w:val="0"/>
        </w:numPr>
        <w:bidi w:val="0"/>
        <w:ind w:leftChars="0"/>
        <w:jc w:val="center"/>
        <w:rPr>
          <w:rFonts w:hint="eastAsia" w:ascii="仿宋" w:hAnsi="仿宋" w:eastAsia="仿宋" w:cs="仿宋"/>
          <w:color w:val="000000"/>
          <w:sz w:val="18"/>
          <w:szCs w:val="18"/>
          <w:highlight w:val="none"/>
        </w:rPr>
      </w:pPr>
    </w:p>
    <w:p w14:paraId="747479E8">
      <w:pPr>
        <w:pStyle w:val="9"/>
        <w:numPr>
          <w:ilvl w:val="0"/>
          <w:numId w:val="0"/>
        </w:numPr>
        <w:bidi w:val="0"/>
        <w:ind w:leftChars="0"/>
        <w:jc w:val="center"/>
        <w:rPr>
          <w:rFonts w:hint="eastAsia" w:ascii="仿宋" w:hAnsi="仿宋" w:eastAsia="仿宋" w:cs="仿宋"/>
          <w:color w:val="000000"/>
          <w:sz w:val="28"/>
          <w:szCs w:val="28"/>
          <w:highlight w:val="none"/>
        </w:rPr>
      </w:pPr>
    </w:p>
    <w:p w14:paraId="551FD155">
      <w:pPr>
        <w:rPr>
          <w:rFonts w:hint="eastAsia" w:ascii="仿宋" w:hAnsi="仿宋" w:eastAsia="仿宋" w:cs="仿宋"/>
          <w:color w:val="000000"/>
          <w:sz w:val="28"/>
          <w:szCs w:val="28"/>
          <w:highlight w:val="none"/>
        </w:rPr>
      </w:pPr>
    </w:p>
    <w:p w14:paraId="2BE4A04F">
      <w:pPr>
        <w:pStyle w:val="3"/>
        <w:rPr>
          <w:rFonts w:hint="eastAsia" w:ascii="仿宋" w:hAnsi="仿宋" w:eastAsia="仿宋" w:cs="仿宋"/>
          <w:color w:val="000000"/>
          <w:sz w:val="28"/>
          <w:szCs w:val="28"/>
          <w:highlight w:val="none"/>
        </w:rPr>
      </w:pPr>
    </w:p>
    <w:p w14:paraId="2DA0B641">
      <w:pPr>
        <w:pStyle w:val="3"/>
        <w:rPr>
          <w:rFonts w:hint="eastAsia" w:ascii="仿宋" w:hAnsi="仿宋" w:eastAsia="仿宋" w:cs="仿宋"/>
          <w:color w:val="000000"/>
          <w:sz w:val="28"/>
          <w:szCs w:val="28"/>
          <w:highlight w:val="none"/>
        </w:rPr>
      </w:pPr>
    </w:p>
    <w:p w14:paraId="22437304">
      <w:pPr>
        <w:pStyle w:val="3"/>
        <w:rPr>
          <w:rFonts w:hint="eastAsia" w:ascii="仿宋" w:hAnsi="仿宋" w:eastAsia="仿宋" w:cs="仿宋"/>
          <w:color w:val="000000"/>
          <w:sz w:val="28"/>
          <w:szCs w:val="28"/>
          <w:highlight w:val="none"/>
        </w:rPr>
      </w:pPr>
    </w:p>
    <w:p w14:paraId="1F2F5A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宋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C8B959"/>
    <w:multiLevelType w:val="multilevel"/>
    <w:tmpl w:val="73C8B959"/>
    <w:lvl w:ilvl="0" w:tentative="0">
      <w:start w:val="1"/>
      <w:numFmt w:val="decimal"/>
      <w:pStyle w:val="7"/>
      <w:lvlText w:val="%1"/>
      <w:lvlJc w:val="left"/>
      <w:pPr>
        <w:tabs>
          <w:tab w:val="left" w:pos="432"/>
        </w:tabs>
        <w:ind w:left="432" w:hanging="432"/>
      </w:pPr>
      <w:rPr>
        <w:rFonts w:hint="eastAsia"/>
      </w:rPr>
    </w:lvl>
    <w:lvl w:ilvl="1" w:tentative="0">
      <w:start w:val="1"/>
      <w:numFmt w:val="decimal"/>
      <w:pStyle w:val="8"/>
      <w:lvlText w:val="%1.%2"/>
      <w:lvlJc w:val="left"/>
      <w:pPr>
        <w:tabs>
          <w:tab w:val="left" w:pos="576"/>
        </w:tabs>
        <w:ind w:left="576" w:hanging="576"/>
      </w:pPr>
      <w:rPr>
        <w:rFonts w:hint="eastAsia"/>
      </w:rPr>
    </w:lvl>
    <w:lvl w:ilvl="2" w:tentative="0">
      <w:start w:val="1"/>
      <w:numFmt w:val="decimal"/>
      <w:pStyle w:val="9"/>
      <w:lvlText w:val="%1.%2.%3"/>
      <w:lvlJc w:val="left"/>
      <w:pPr>
        <w:tabs>
          <w:tab w:val="left" w:pos="720"/>
        </w:tabs>
        <w:ind w:left="720" w:hanging="720"/>
      </w:pPr>
      <w:rPr>
        <w:rFonts w:hint="eastAsia"/>
      </w:rPr>
    </w:lvl>
    <w:lvl w:ilvl="3" w:tentative="0">
      <w:start w:val="1"/>
      <w:numFmt w:val="decimal"/>
      <w:pStyle w:val="10"/>
      <w:lvlText w:val="5.2.%4"/>
      <w:lvlJc w:val="left"/>
      <w:pPr>
        <w:tabs>
          <w:tab w:val="left" w:pos="1080"/>
        </w:tabs>
        <w:ind w:left="864" w:hanging="864"/>
      </w:pPr>
      <w:rPr>
        <w:rFonts w:hint="eastAsia"/>
      </w:rPr>
    </w:lvl>
    <w:lvl w:ilvl="4" w:tentative="0">
      <w:start w:val="1"/>
      <w:numFmt w:val="decimal"/>
      <w:pStyle w:val="11"/>
      <w:lvlText w:val="%1.%2.%3.%4.%5"/>
      <w:lvlJc w:val="left"/>
      <w:pPr>
        <w:tabs>
          <w:tab w:val="left" w:pos="1008"/>
        </w:tabs>
        <w:ind w:left="1008" w:hanging="1008"/>
      </w:pPr>
      <w:rPr>
        <w:rFonts w:hint="eastAsia"/>
      </w:rPr>
    </w:lvl>
    <w:lvl w:ilvl="5" w:tentative="0">
      <w:start w:val="1"/>
      <w:numFmt w:val="decimal"/>
      <w:pStyle w:val="12"/>
      <w:lvlText w:val="%1.%2.%3.%4.%5.%6"/>
      <w:lvlJc w:val="left"/>
      <w:pPr>
        <w:tabs>
          <w:tab w:val="left" w:pos="1152"/>
        </w:tabs>
        <w:ind w:left="1152" w:hanging="1152"/>
      </w:pPr>
      <w:rPr>
        <w:rFonts w:hint="eastAsia"/>
      </w:rPr>
    </w:lvl>
    <w:lvl w:ilvl="6" w:tentative="0">
      <w:start w:val="1"/>
      <w:numFmt w:val="decimal"/>
      <w:pStyle w:val="13"/>
      <w:lvlText w:val="%1.%2.%3.%4.%5.%6.%7"/>
      <w:lvlJc w:val="left"/>
      <w:pPr>
        <w:tabs>
          <w:tab w:val="left" w:pos="1296"/>
        </w:tabs>
        <w:ind w:left="1296" w:hanging="1296"/>
      </w:pPr>
      <w:rPr>
        <w:rFonts w:hint="eastAsia"/>
      </w:rPr>
    </w:lvl>
    <w:lvl w:ilvl="7" w:tentative="0">
      <w:start w:val="1"/>
      <w:numFmt w:val="decimal"/>
      <w:pStyle w:val="14"/>
      <w:lvlText w:val="%1.%2.%3.%4.%5.%6.%7.%8"/>
      <w:lvlJc w:val="left"/>
      <w:pPr>
        <w:tabs>
          <w:tab w:val="left" w:pos="1440"/>
        </w:tabs>
        <w:ind w:left="1440" w:hanging="1440"/>
      </w:pPr>
      <w:rPr>
        <w:rFonts w:hint="eastAsia"/>
      </w:rPr>
    </w:lvl>
    <w:lvl w:ilvl="8" w:tentative="0">
      <w:start w:val="1"/>
      <w:numFmt w:val="decimal"/>
      <w:pStyle w:val="15"/>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AB7B33"/>
    <w:rsid w:val="219D2904"/>
    <w:rsid w:val="26AF5D38"/>
    <w:rsid w:val="3A485400"/>
    <w:rsid w:val="47AB7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18"/>
    <w:qFormat/>
    <w:uiPriority w:val="0"/>
    <w:pPr>
      <w:keepNext/>
      <w:keepLines/>
      <w:numPr>
        <w:ilvl w:val="0"/>
        <w:numId w:val="1"/>
      </w:numPr>
      <w:spacing w:before="340" w:after="330" w:line="578" w:lineRule="auto"/>
      <w:outlineLvl w:val="0"/>
    </w:pPr>
    <w:rPr>
      <w:rFonts w:ascii="宋体" w:hAnsi="宋体" w:eastAsia="宋体" w:cs="Times New Roman"/>
      <w:b/>
      <w:kern w:val="44"/>
      <w:sz w:val="32"/>
      <w:szCs w:val="20"/>
    </w:rPr>
  </w:style>
  <w:style w:type="paragraph" w:styleId="8">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6" w:hanging="576"/>
      <w:outlineLvl w:val="1"/>
    </w:pPr>
    <w:rPr>
      <w:rFonts w:ascii="Arial" w:hAnsi="Arial" w:eastAsia="黑体"/>
      <w:b/>
      <w:sz w:val="32"/>
    </w:rPr>
  </w:style>
  <w:style w:type="paragraph" w:styleId="9">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10">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11">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12">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2" w:hanging="1152"/>
      <w:outlineLvl w:val="5"/>
    </w:pPr>
    <w:rPr>
      <w:rFonts w:ascii="Arial" w:hAnsi="Arial" w:eastAsia="黑体"/>
      <w:b/>
      <w:sz w:val="24"/>
    </w:rPr>
  </w:style>
  <w:style w:type="paragraph" w:styleId="13">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4">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5">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rFonts w:ascii="Times New Roman" w:hAnsi="Times New Roman" w:eastAsia="仿宋_GB2312" w:cs="Times New Roman"/>
      <w:sz w:val="28"/>
    </w:rPr>
  </w:style>
  <w:style w:type="paragraph" w:styleId="3">
    <w:name w:val="Body Text"/>
    <w:basedOn w:val="1"/>
    <w:next w:val="1"/>
    <w:uiPriority w:val="0"/>
    <w:pPr>
      <w:spacing w:after="120" w:afterLines="0" w:afterAutospacing="0"/>
    </w:pPr>
  </w:style>
  <w:style w:type="paragraph" w:styleId="4">
    <w:name w:val="Body Text First Indent 2"/>
    <w:basedOn w:val="5"/>
    <w:next w:val="1"/>
    <w:qFormat/>
    <w:uiPriority w:val="0"/>
    <w:pPr>
      <w:ind w:firstLine="420" w:firstLineChars="200"/>
    </w:pPr>
  </w:style>
  <w:style w:type="paragraph" w:styleId="5">
    <w:name w:val="Body Text Indent"/>
    <w:basedOn w:val="1"/>
    <w:next w:val="6"/>
    <w:uiPriority w:val="0"/>
    <w:pPr>
      <w:ind w:left="360"/>
    </w:pPr>
    <w:rPr>
      <w:sz w:val="28"/>
      <w:szCs w:val="20"/>
    </w:rPr>
  </w:style>
  <w:style w:type="paragraph" w:styleId="6">
    <w:name w:val="envelope return"/>
    <w:basedOn w:val="1"/>
    <w:qFormat/>
    <w:uiPriority w:val="0"/>
    <w:pPr>
      <w:snapToGrid w:val="0"/>
    </w:pPr>
    <w:rPr>
      <w:rFonts w:ascii="Arial" w:hAnsi="Arial"/>
    </w:rPr>
  </w:style>
  <w:style w:type="character" w:customStyle="1" w:styleId="18">
    <w:name w:val="标题 1 Char"/>
    <w:link w:val="7"/>
    <w:qFormat/>
    <w:uiPriority w:val="0"/>
    <w:rPr>
      <w:rFonts w:ascii="宋体" w:hAnsi="宋体" w:eastAsia="宋体" w:cs="Times New Roman"/>
      <w:b/>
      <w:kern w:val="44"/>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2026-09-07T07:27:00Z</dcterms:created>
  <dc:creator>Administrator</dc:creator>
  <cp:lastModifiedBy>Administrator</cp:lastModifiedBy>
  <dcterms:modified xsi:type="dcterms:W3CDTF">2026-09-07T07:28:06Z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961C42AD8AD3417F9DF5A8B8CABD3E70_11</vt:lpwstr>
  </property>
  <property fmtid="{D5CDD505-2E9C-101B-9397-08002B2CF9AE}" pid="4" name="KSOTemplateDocerSaveRecord">
    <vt:lpwstr>eyJoZGlkIjoiZmQxZDliMjk5MzIzMGFlYzBmOWZmMTgzZmFlNjgxMjgiLCJ1c2VySWQiOiI1NTQ2NTA5In0=</vt:lpwstr>
  </property>
</Properties>
</file>