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2C60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宋体" w:hAnsi="宋体" w:cs="宋体"/>
          <w:sz w:val="48"/>
          <w:szCs w:val="48"/>
        </w:rPr>
      </w:pPr>
      <w:r>
        <w:rPr>
          <w:rStyle w:val="6"/>
          <w:rFonts w:hint="eastAsia" w:hAnsi="Times New Roman" w:cs="Times New Roman"/>
          <w:b/>
          <w:bCs/>
          <w:sz w:val="36"/>
          <w:szCs w:val="36"/>
          <w:lang w:val="zh-CN" w:eastAsia="zh-CN"/>
        </w:rPr>
        <w:t>拟签订的合同条款文本</w:t>
      </w:r>
    </w:p>
    <w:p w14:paraId="54D89CC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4CB6BA1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乙方（供应商）： </w:t>
      </w:r>
    </w:p>
    <w:p w14:paraId="5558D36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城市书房建设项目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LZZB-</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u w:val="single"/>
          <w:lang w:eastAsia="zh-CN"/>
        </w:rPr>
        <w:t>202</w:t>
      </w:r>
      <w:r>
        <w:rPr>
          <w:rFonts w:hint="eastAsia" w:ascii="仿宋_GB2312" w:hAnsi="仿宋_GB2312" w:eastAsia="仿宋_GB2312" w:cs="仿宋_GB2312"/>
          <w:bCs/>
          <w:sz w:val="28"/>
          <w:szCs w:val="28"/>
          <w:u w:val="single"/>
          <w:lang w:val="en-US" w:eastAsia="zh-CN"/>
        </w:rPr>
        <w:t>6</w:t>
      </w:r>
      <w:r>
        <w:rPr>
          <w:rFonts w:hint="eastAsia" w:ascii="仿宋_GB2312" w:hAnsi="仿宋_GB2312" w:eastAsia="仿宋_GB2312" w:cs="仿宋_GB2312"/>
          <w:bCs/>
          <w:sz w:val="28"/>
          <w:szCs w:val="28"/>
          <w:u w:val="single"/>
          <w:lang w:eastAsia="zh-CN"/>
        </w:rPr>
        <w:t>0</w:t>
      </w:r>
      <w:r>
        <w:rPr>
          <w:rFonts w:hint="eastAsia" w:ascii="仿宋_GB2312" w:hAnsi="仿宋_GB2312" w:eastAsia="仿宋_GB2312" w:cs="仿宋_GB2312"/>
          <w:bCs/>
          <w:sz w:val="28"/>
          <w:szCs w:val="28"/>
          <w:u w:val="single"/>
          <w:lang w:val="en-US" w:eastAsia="zh-CN"/>
        </w:rPr>
        <w:t>08</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w:t>
      </w:r>
      <w:r>
        <w:rPr>
          <w:rFonts w:hint="eastAsia" w:ascii="仿宋_GB2312" w:hAnsi="仿宋_GB2312" w:eastAsia="仿宋_GB2312" w:cs="仿宋_GB2312"/>
          <w:bCs/>
          <w:sz w:val="28"/>
          <w:szCs w:val="28"/>
          <w:lang w:val="en-US" w:eastAsia="zh-CN"/>
        </w:rPr>
        <w:t>陕西霖舟项目管理有限公司</w:t>
      </w:r>
      <w:r>
        <w:rPr>
          <w:rFonts w:hint="eastAsia" w:ascii="仿宋_GB2312" w:hAnsi="仿宋_GB2312" w:eastAsia="仿宋_GB2312" w:cs="仿宋_GB2312"/>
          <w:bCs/>
          <w:sz w:val="28"/>
          <w:szCs w:val="28"/>
        </w:rPr>
        <w:t>组织</w:t>
      </w:r>
      <w:r>
        <w:rPr>
          <w:rFonts w:hint="eastAsia" w:ascii="仿宋_GB2312" w:hAnsi="仿宋_GB2312" w:eastAsia="仿宋_GB2312" w:cs="仿宋_GB2312"/>
          <w:bCs/>
          <w:sz w:val="28"/>
          <w:szCs w:val="28"/>
          <w:lang w:val="en-US" w:eastAsia="zh-CN"/>
        </w:rPr>
        <w:t>公开招标</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w:t>
      </w:r>
      <w:r>
        <w:rPr>
          <w:rFonts w:hint="eastAsia" w:ascii="仿宋_GB2312" w:hAnsi="仿宋_GB2312" w:eastAsia="仿宋_GB2312" w:cs="仿宋_GB2312"/>
          <w:bCs/>
          <w:sz w:val="28"/>
          <w:szCs w:val="28"/>
          <w:u w:val="single"/>
          <w:lang w:val="en-US" w:eastAsia="zh-CN"/>
        </w:rPr>
        <w:t xml:space="preserve">合同包号 </w:t>
      </w:r>
      <w:r>
        <w:rPr>
          <w:rFonts w:hint="eastAsia" w:ascii="仿宋_GB2312" w:hAnsi="仿宋_GB2312" w:eastAsia="仿宋_GB2312" w:cs="仿宋_GB2312"/>
          <w:bCs/>
          <w:sz w:val="28"/>
          <w:szCs w:val="28"/>
        </w:rPr>
        <w:t>的成交供应商。</w:t>
      </w:r>
    </w:p>
    <w:p w14:paraId="38D7FA6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依据《中华人民共和国民法典》和《中华人民共和国政府采购法》之规定，经双方在平等、自愿、互利的基础上，签订本合同，共同信守。</w:t>
      </w:r>
    </w:p>
    <w:p w14:paraId="66607E78">
      <w:pPr>
        <w:autoSpaceDE w:val="0"/>
        <w:autoSpaceDN w:val="0"/>
        <w:adjustRightInd w:val="0"/>
        <w:snapToGrid w:val="0"/>
        <w:spacing w:line="360" w:lineRule="auto"/>
        <w:ind w:firstLine="562" w:firstLineChars="20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rPr>
        <w:t>一、</w:t>
      </w:r>
      <w:r>
        <w:rPr>
          <w:rFonts w:hint="eastAsia" w:ascii="仿宋_GB2312" w:hAnsi="仿宋_GB2312" w:eastAsia="仿宋_GB2312" w:cs="仿宋_GB2312"/>
          <w:b/>
          <w:bCs/>
          <w:sz w:val="28"/>
          <w:szCs w:val="28"/>
          <w:lang w:val="zh-CN"/>
        </w:rPr>
        <w:t>合同标的</w:t>
      </w:r>
      <w:r>
        <w:rPr>
          <w:rFonts w:hint="eastAsia" w:ascii="仿宋_GB2312" w:hAnsi="仿宋_GB2312" w:eastAsia="仿宋_GB2312" w:cs="仿宋_GB2312"/>
          <w:b/>
          <w:bCs/>
          <w:sz w:val="28"/>
          <w:szCs w:val="28"/>
        </w:rPr>
        <w:t>物内容</w:t>
      </w:r>
      <w:r>
        <w:rPr>
          <w:rFonts w:hint="eastAsia" w:ascii="仿宋_GB2312" w:hAnsi="仿宋_GB2312" w:eastAsia="仿宋_GB2312" w:cs="仿宋_GB2312"/>
          <w:b/>
          <w:bCs/>
          <w:sz w:val="28"/>
          <w:szCs w:val="28"/>
          <w:lang w:val="zh-CN"/>
        </w:rPr>
        <w:t>及数量</w:t>
      </w:r>
    </w:p>
    <w:p w14:paraId="23F3DA2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lang w:val="zh-CN"/>
        </w:rPr>
        <w:t>乙方向甲方提供下列货物（产品）：</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465"/>
        <w:gridCol w:w="1588"/>
        <w:gridCol w:w="608"/>
        <w:gridCol w:w="717"/>
        <w:gridCol w:w="775"/>
        <w:gridCol w:w="1637"/>
        <w:gridCol w:w="1665"/>
      </w:tblGrid>
      <w:tr w14:paraId="7F9F09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816" w:type="dxa"/>
            <w:noWrap w:val="0"/>
            <w:vAlign w:val="center"/>
          </w:tcPr>
          <w:p w14:paraId="7084D838">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序号</w:t>
            </w:r>
          </w:p>
        </w:tc>
        <w:tc>
          <w:tcPr>
            <w:tcW w:w="1465" w:type="dxa"/>
            <w:noWrap w:val="0"/>
            <w:vAlign w:val="center"/>
          </w:tcPr>
          <w:p w14:paraId="6D5AA9F2">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货物</w:t>
            </w:r>
            <w:r>
              <w:rPr>
                <w:rFonts w:hint="eastAsia" w:ascii="仿宋_GB2312" w:hAnsi="仿宋_GB2312" w:eastAsia="仿宋_GB2312" w:cs="仿宋_GB2312"/>
                <w:bCs/>
                <w:sz w:val="28"/>
                <w:szCs w:val="28"/>
              </w:rPr>
              <w:t>名称</w:t>
            </w:r>
          </w:p>
        </w:tc>
        <w:tc>
          <w:tcPr>
            <w:tcW w:w="1588" w:type="dxa"/>
            <w:noWrap w:val="0"/>
            <w:vAlign w:val="center"/>
          </w:tcPr>
          <w:p w14:paraId="268BC4E1">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品牌/型号</w:t>
            </w:r>
          </w:p>
        </w:tc>
        <w:tc>
          <w:tcPr>
            <w:tcW w:w="608" w:type="dxa"/>
            <w:noWrap w:val="0"/>
            <w:vAlign w:val="center"/>
          </w:tcPr>
          <w:p w14:paraId="3BEB2B81">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规格</w:t>
            </w:r>
          </w:p>
        </w:tc>
        <w:tc>
          <w:tcPr>
            <w:tcW w:w="717" w:type="dxa"/>
            <w:noWrap w:val="0"/>
            <w:vAlign w:val="center"/>
          </w:tcPr>
          <w:p w14:paraId="34DF10BB">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单位</w:t>
            </w:r>
          </w:p>
        </w:tc>
        <w:tc>
          <w:tcPr>
            <w:tcW w:w="775" w:type="dxa"/>
            <w:noWrap w:val="0"/>
            <w:vAlign w:val="center"/>
          </w:tcPr>
          <w:p w14:paraId="29604278">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数量</w:t>
            </w:r>
          </w:p>
        </w:tc>
        <w:tc>
          <w:tcPr>
            <w:tcW w:w="1637" w:type="dxa"/>
            <w:noWrap w:val="0"/>
            <w:vAlign w:val="center"/>
          </w:tcPr>
          <w:p w14:paraId="14D43F9B">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单价（元）</w:t>
            </w:r>
          </w:p>
        </w:tc>
        <w:tc>
          <w:tcPr>
            <w:tcW w:w="1665" w:type="dxa"/>
            <w:noWrap w:val="0"/>
            <w:vAlign w:val="center"/>
          </w:tcPr>
          <w:p w14:paraId="4CE90647">
            <w:pPr>
              <w:autoSpaceDE w:val="0"/>
              <w:autoSpaceDN w:val="0"/>
              <w:adjustRightInd w:val="0"/>
              <w:snapToGrid w:val="0"/>
              <w:ind w:left="0" w:leftChars="0" w:firstLine="0" w:firstLineChars="0"/>
              <w:jc w:val="both"/>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总价</w:t>
            </w:r>
            <w:r>
              <w:rPr>
                <w:rFonts w:hint="eastAsia" w:ascii="仿宋_GB2312" w:hAnsi="仿宋_GB2312" w:eastAsia="仿宋_GB2312" w:cs="仿宋_GB2312"/>
                <w:bCs/>
                <w:sz w:val="28"/>
                <w:szCs w:val="28"/>
              </w:rPr>
              <w:t xml:space="preserve"> (元)</w:t>
            </w:r>
          </w:p>
        </w:tc>
      </w:tr>
      <w:tr w14:paraId="626B40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6B8934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465" w:type="dxa"/>
            <w:noWrap w:val="0"/>
            <w:vAlign w:val="top"/>
          </w:tcPr>
          <w:p w14:paraId="1BBC8FA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588" w:type="dxa"/>
            <w:noWrap w:val="0"/>
            <w:vAlign w:val="top"/>
          </w:tcPr>
          <w:p w14:paraId="6837F47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608" w:type="dxa"/>
            <w:noWrap w:val="0"/>
            <w:vAlign w:val="top"/>
          </w:tcPr>
          <w:p w14:paraId="7FF0EB2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17" w:type="dxa"/>
            <w:noWrap w:val="0"/>
            <w:vAlign w:val="top"/>
          </w:tcPr>
          <w:p w14:paraId="10247CF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75" w:type="dxa"/>
            <w:noWrap w:val="0"/>
            <w:vAlign w:val="top"/>
          </w:tcPr>
          <w:p w14:paraId="6C03DA61">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37" w:type="dxa"/>
            <w:noWrap w:val="0"/>
            <w:vAlign w:val="top"/>
          </w:tcPr>
          <w:p w14:paraId="0AA8BA7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65" w:type="dxa"/>
            <w:noWrap w:val="0"/>
            <w:vAlign w:val="top"/>
          </w:tcPr>
          <w:p w14:paraId="7060F20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r>
      <w:tr w14:paraId="78D4F5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5FEE93B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465" w:type="dxa"/>
            <w:noWrap w:val="0"/>
            <w:vAlign w:val="top"/>
          </w:tcPr>
          <w:p w14:paraId="06B1587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588" w:type="dxa"/>
            <w:noWrap w:val="0"/>
            <w:vAlign w:val="top"/>
          </w:tcPr>
          <w:p w14:paraId="4517249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608" w:type="dxa"/>
            <w:noWrap w:val="0"/>
            <w:vAlign w:val="top"/>
          </w:tcPr>
          <w:p w14:paraId="29A0A89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17" w:type="dxa"/>
            <w:noWrap w:val="0"/>
            <w:vAlign w:val="top"/>
          </w:tcPr>
          <w:p w14:paraId="40B13DA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75" w:type="dxa"/>
            <w:noWrap w:val="0"/>
            <w:vAlign w:val="top"/>
          </w:tcPr>
          <w:p w14:paraId="7051B05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37" w:type="dxa"/>
            <w:noWrap w:val="0"/>
            <w:vAlign w:val="top"/>
          </w:tcPr>
          <w:p w14:paraId="12FE96A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65" w:type="dxa"/>
            <w:noWrap w:val="0"/>
            <w:vAlign w:val="top"/>
          </w:tcPr>
          <w:p w14:paraId="6CF17C5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r>
      <w:tr w14:paraId="580004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3CD29C7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465" w:type="dxa"/>
            <w:noWrap w:val="0"/>
            <w:vAlign w:val="top"/>
          </w:tcPr>
          <w:p w14:paraId="4B934D54">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588" w:type="dxa"/>
            <w:noWrap w:val="0"/>
            <w:vAlign w:val="top"/>
          </w:tcPr>
          <w:p w14:paraId="2924303E">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608" w:type="dxa"/>
            <w:noWrap w:val="0"/>
            <w:vAlign w:val="top"/>
          </w:tcPr>
          <w:p w14:paraId="1E9ADB70">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17" w:type="dxa"/>
            <w:noWrap w:val="0"/>
            <w:vAlign w:val="top"/>
          </w:tcPr>
          <w:p w14:paraId="5EE7042C">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775" w:type="dxa"/>
            <w:noWrap w:val="0"/>
            <w:vAlign w:val="top"/>
          </w:tcPr>
          <w:p w14:paraId="2C42455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37" w:type="dxa"/>
            <w:noWrap w:val="0"/>
            <w:vAlign w:val="top"/>
          </w:tcPr>
          <w:p w14:paraId="7A7F6BF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c>
          <w:tcPr>
            <w:tcW w:w="1665" w:type="dxa"/>
            <w:noWrap w:val="0"/>
            <w:vAlign w:val="top"/>
          </w:tcPr>
          <w:p w14:paraId="4B22DD3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p>
        </w:tc>
      </w:tr>
      <w:tr w14:paraId="5B2AE5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281" w:type="dxa"/>
            <w:gridSpan w:val="2"/>
            <w:noWrap w:val="0"/>
            <w:vAlign w:val="center"/>
          </w:tcPr>
          <w:p w14:paraId="6A7531AF">
            <w:pPr>
              <w:autoSpaceDE w:val="0"/>
              <w:autoSpaceDN w:val="0"/>
              <w:adjustRightInd w:val="0"/>
              <w:snapToGrid w:val="0"/>
              <w:jc w:val="center"/>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合计</w:t>
            </w:r>
          </w:p>
        </w:tc>
        <w:tc>
          <w:tcPr>
            <w:tcW w:w="3688" w:type="dxa"/>
            <w:gridSpan w:val="4"/>
            <w:noWrap w:val="0"/>
            <w:vAlign w:val="center"/>
          </w:tcPr>
          <w:p w14:paraId="608112E3">
            <w:pPr>
              <w:autoSpaceDE w:val="0"/>
              <w:autoSpaceDN w:val="0"/>
              <w:adjustRightInd w:val="0"/>
              <w:snapToGrid w:val="0"/>
              <w:jc w:val="left"/>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rPr>
              <w:t>大写</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lang w:val="en-US" w:eastAsia="zh-CN"/>
              </w:rPr>
              <w:t xml:space="preserve">           </w:t>
            </w:r>
          </w:p>
        </w:tc>
        <w:tc>
          <w:tcPr>
            <w:tcW w:w="3302" w:type="dxa"/>
            <w:gridSpan w:val="2"/>
            <w:noWrap w:val="0"/>
            <w:vAlign w:val="center"/>
          </w:tcPr>
          <w:p w14:paraId="13262F09">
            <w:pPr>
              <w:autoSpaceDE w:val="0"/>
              <w:autoSpaceDN w:val="0"/>
              <w:adjustRightInd w:val="0"/>
              <w:snapToGrid w:val="0"/>
              <w:ind w:firstLine="560" w:firstLineChars="200"/>
              <w:jc w:val="left"/>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lang w:val="en-US" w:eastAsia="zh-CN"/>
              </w:rPr>
              <w:t xml:space="preserve">           </w:t>
            </w:r>
          </w:p>
        </w:tc>
      </w:tr>
    </w:tbl>
    <w:p w14:paraId="36EAB3B1">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二、合同价款</w:t>
      </w:r>
    </w:p>
    <w:p w14:paraId="33E359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（一）合同价款为人民币（大写）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14:paraId="2996195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bCs/>
          <w:sz w:val="28"/>
          <w:szCs w:val="28"/>
        </w:rPr>
        <w:t>（二）</w:t>
      </w:r>
      <w:r>
        <w:rPr>
          <w:rFonts w:hint="eastAsia" w:ascii="仿宋_GB2312" w:hAnsi="仿宋_GB2312" w:eastAsia="仿宋_GB2312" w:cs="仿宋_GB2312"/>
          <w:color w:val="auto"/>
          <w:sz w:val="28"/>
          <w:szCs w:val="28"/>
          <w:highlight w:val="none"/>
          <w:lang w:val="zh-CN"/>
        </w:rPr>
        <w:t>合同价款包括不限于成本费、仓储费、运杂费（含运输费、保险费、包装费、装卸费）、管理费、利润、税金、不可预见费、政策性文件规定的各项应有费用及合同明示或暗示的所有一切风险、责任和义务的费用。</w:t>
      </w:r>
    </w:p>
    <w:p w14:paraId="7EF1A5FF">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35D6803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采购包</w:t>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 付款条件说明：全部</w:t>
      </w:r>
      <w:r>
        <w:rPr>
          <w:rFonts w:hint="eastAsia" w:ascii="仿宋_GB2312" w:hAnsi="仿宋_GB2312" w:eastAsia="仿宋_GB2312" w:cs="仿宋_GB2312"/>
          <w:bCs/>
          <w:sz w:val="28"/>
          <w:szCs w:val="28"/>
          <w:lang w:val="en-US" w:eastAsia="zh-CN"/>
        </w:rPr>
        <w:t>货物</w:t>
      </w:r>
      <w:r>
        <w:rPr>
          <w:rFonts w:hint="eastAsia" w:ascii="仿宋_GB2312" w:hAnsi="仿宋_GB2312" w:eastAsia="仿宋_GB2312" w:cs="仿宋_GB2312"/>
          <w:bCs/>
          <w:sz w:val="28"/>
          <w:szCs w:val="28"/>
        </w:rPr>
        <w:t>到货安装后，经采购人验收合格后，提供合法正规的发票 ，达到付款条件起 30 日内，支付合同总金额的 100.00%。</w:t>
      </w:r>
    </w:p>
    <w:p w14:paraId="5E2AA9C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采购包</w:t>
      </w: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 付款条件说明：</w:t>
      </w:r>
      <w:bookmarkStart w:id="0" w:name="_GoBack"/>
      <w:r>
        <w:rPr>
          <w:rFonts w:hint="eastAsia" w:ascii="仿宋_GB2312" w:hAnsi="仿宋_GB2312" w:eastAsia="仿宋_GB2312" w:cs="仿宋_GB2312"/>
          <w:bCs/>
          <w:sz w:val="28"/>
          <w:szCs w:val="28"/>
        </w:rPr>
        <w:t>设备全部到货安装后，经采购人验收合格后，提供合法正规的发票 ，达到付款条件起 30 日内，支付合同总金额的 100.00%。</w:t>
      </w:r>
      <w:bookmarkEnd w:id="0"/>
    </w:p>
    <w:p w14:paraId="008A5C68">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四、双方的权利和义务</w:t>
      </w:r>
    </w:p>
    <w:p w14:paraId="52420D8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（一）甲方的权利与义务</w:t>
      </w:r>
    </w:p>
    <w:p w14:paraId="14E8925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1.积极配合乙方安装、调试、验收工作。</w:t>
      </w:r>
    </w:p>
    <w:p w14:paraId="4F61B81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2.组织使用单位严格按照</w:t>
      </w:r>
      <w:r>
        <w:rPr>
          <w:rFonts w:hint="eastAsia" w:ascii="仿宋_GB2312" w:hAnsi="仿宋_GB2312" w:eastAsia="仿宋_GB2312" w:cs="仿宋_GB2312"/>
          <w:bCs/>
          <w:sz w:val="28"/>
          <w:szCs w:val="28"/>
          <w:lang w:eastAsia="zh-CN"/>
        </w:rPr>
        <w:t>磋商文件</w:t>
      </w:r>
      <w:r>
        <w:rPr>
          <w:rFonts w:hint="eastAsia" w:ascii="仿宋_GB2312" w:hAnsi="仿宋_GB2312" w:eastAsia="仿宋_GB2312" w:cs="仿宋_GB2312"/>
          <w:bCs/>
          <w:sz w:val="28"/>
          <w:szCs w:val="28"/>
        </w:rPr>
        <w:t>及响应文件要求和标准验收货物。</w:t>
      </w:r>
    </w:p>
    <w:p w14:paraId="569D21D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（二）乙方的权利与义务</w:t>
      </w:r>
    </w:p>
    <w:p w14:paraId="28DD92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1.保证对其出售的产品享有合法的权利，不存在任何未曾向甲方透露的担保物权，如抵押权、质押权、留置权。</w:t>
      </w:r>
    </w:p>
    <w:p w14:paraId="0088B41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2.保证对其出售的产品或其任何一部分没有侵犯第三方的专利权、版权、商标权或其他权利。</w:t>
      </w:r>
    </w:p>
    <w:p w14:paraId="6DDB4EA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3.负责产品的运输、安装与调试，并在合同约定的时间完工，运输及安装施工全过程中的安全由乙方负责。</w:t>
      </w:r>
    </w:p>
    <w:p w14:paraId="38F739D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4.按照合同约定要求甲方及时付款。</w:t>
      </w:r>
    </w:p>
    <w:p w14:paraId="37A25857">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五、交货条件</w:t>
      </w:r>
    </w:p>
    <w:p w14:paraId="727A4B7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（一）交货期：</w:t>
      </w:r>
      <w:r>
        <w:rPr>
          <w:rFonts w:hint="eastAsia" w:ascii="仿宋_GB2312" w:hAnsi="仿宋_GB2312" w:eastAsia="仿宋_GB2312" w:cs="仿宋_GB2312"/>
          <w:bCs/>
          <w:sz w:val="28"/>
          <w:szCs w:val="28"/>
          <w:lang w:val="en-US" w:eastAsia="zh-CN"/>
        </w:rPr>
        <w:t>自合同签订之日起</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个月</w:t>
      </w:r>
      <w:r>
        <w:rPr>
          <w:rFonts w:hint="eastAsia" w:ascii="仿宋_GB2312" w:hAnsi="仿宋_GB2312" w:eastAsia="仿宋_GB2312" w:cs="仿宋_GB2312"/>
          <w:bCs/>
          <w:sz w:val="28"/>
          <w:szCs w:val="28"/>
        </w:rPr>
        <w:t>。</w:t>
      </w:r>
    </w:p>
    <w:p w14:paraId="3605F33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（二）交货地点：采购人指定地点。</w:t>
      </w:r>
    </w:p>
    <w:p w14:paraId="67062F04">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六、运输及包装要求</w:t>
      </w:r>
    </w:p>
    <w:p w14:paraId="60C4D74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rPr>
        <w:t>涉及的商品包装和快递包装，均应符合《商品包装政府采购需求标准（试行）》《快递包装政府采购需求标准（试行）》的要求，包装应适应于远距离运输、防潮、防震、防锈和防野蛮装卸，以确保货物安全无损运抵指定地点。</w:t>
      </w:r>
      <w:r>
        <w:rPr>
          <w:rFonts w:hint="eastAsia" w:ascii="仿宋_GB2312" w:hAnsi="仿宋_GB2312" w:eastAsia="仿宋_GB2312" w:cs="仿宋_GB2312"/>
          <w:bCs/>
          <w:sz w:val="28"/>
          <w:szCs w:val="28"/>
          <w:lang w:val="en-US" w:eastAsia="zh-CN"/>
        </w:rPr>
        <w:t xml:space="preserve">              </w:t>
      </w:r>
    </w:p>
    <w:p w14:paraId="7D85026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（二）乙方负责所有货物的运输。确保货物安全、完整到达使用地点，运杂费用包含在总价内，包括货物从供货地点到使用地点的运输费、保险费、搬运费等。 </w:t>
      </w:r>
    </w:p>
    <w:p w14:paraId="51C0996E">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（三）所有货物在运输、搬运、安装的过程中，造成甲方损失的，由乙方为甲方修复或更新。</w:t>
      </w:r>
    </w:p>
    <w:p w14:paraId="03C0FBFC">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七、质量保证</w:t>
      </w:r>
    </w:p>
    <w:p w14:paraId="00F18F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（一）乙方须提供全新的、未使用过的合格正品产品（含零部件、配件等），完全符合合同规定的质量、规格和性能的要求。</w:t>
      </w:r>
    </w:p>
    <w:p w14:paraId="5FFF17A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（二）质量标准按照最新颁布的国家标准、行业标准或制造商企业标准确定，上述标准不一致的，以严格标准为准。</w:t>
      </w:r>
    </w:p>
    <w:p w14:paraId="1BF9179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（三）乙方所提供产品还应符合国家和陕西省有关安全、环保、节能之规定，“3C”认证的货物（产品）应加贴“3C”认证标志。</w:t>
      </w:r>
    </w:p>
    <w:p w14:paraId="158F730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 xml:space="preserve"> （四）质保期：自验收合格之日起</w:t>
      </w:r>
      <w:r>
        <w:rPr>
          <w:rFonts w:hint="eastAsia" w:ascii="仿宋_GB2312" w:hAnsi="仿宋_GB2312" w:eastAsia="仿宋_GB2312" w:cs="仿宋_GB2312"/>
          <w:bCs/>
          <w:color w:val="auto"/>
          <w:sz w:val="28"/>
          <w:szCs w:val="28"/>
          <w:highlight w:val="none"/>
          <w:lang w:val="en-US" w:eastAsia="zh-CN"/>
        </w:rPr>
        <w:t>2</w:t>
      </w:r>
      <w:r>
        <w:rPr>
          <w:rFonts w:hint="eastAsia" w:ascii="仿宋_GB2312" w:hAnsi="仿宋_GB2312" w:eastAsia="仿宋_GB2312" w:cs="仿宋_GB2312"/>
          <w:bCs/>
          <w:color w:val="auto"/>
          <w:sz w:val="28"/>
          <w:szCs w:val="28"/>
          <w:highlight w:val="none"/>
        </w:rPr>
        <w:t>年。</w:t>
      </w:r>
    </w:p>
    <w:p w14:paraId="53153B7E">
      <w:pPr>
        <w:keepNext w:val="0"/>
        <w:keepLines w:val="0"/>
        <w:pageBreakBefore w:val="0"/>
        <w:widowControl w:val="0"/>
        <w:kinsoku/>
        <w:wordWrap/>
        <w:overflowPunct/>
        <w:topLinePunct w:val="0"/>
        <w:autoSpaceDE w:val="0"/>
        <w:autoSpaceDN w:val="0"/>
        <w:bidi w:val="0"/>
        <w:adjustRightInd w:val="0"/>
        <w:snapToGrid w:val="0"/>
        <w:spacing w:line="360" w:lineRule="auto"/>
        <w:ind w:firstLine="703" w:firstLineChars="25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八、售后服务</w:t>
      </w:r>
    </w:p>
    <w:p w14:paraId="6D77904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乙方应按照国家有关法律法规和“三包”规定以及</w:t>
      </w:r>
      <w:r>
        <w:rPr>
          <w:rFonts w:hint="eastAsia" w:ascii="仿宋_GB2312" w:hAnsi="仿宋_GB2312" w:eastAsia="仿宋_GB2312" w:cs="仿宋_GB2312"/>
          <w:bCs/>
          <w:sz w:val="28"/>
          <w:szCs w:val="28"/>
          <w:lang w:eastAsia="zh-CN"/>
        </w:rPr>
        <w:t>磋商文件</w:t>
      </w:r>
      <w:r>
        <w:rPr>
          <w:rFonts w:hint="eastAsia" w:ascii="仿宋_GB2312" w:hAnsi="仿宋_GB2312" w:eastAsia="仿宋_GB2312" w:cs="仿宋_GB2312"/>
          <w:bCs/>
          <w:sz w:val="28"/>
          <w:szCs w:val="28"/>
        </w:rPr>
        <w:t>要求和响应文件中的“售后服务承诺”提供售后服务，但至少包括以下方面：</w:t>
      </w:r>
    </w:p>
    <w:p w14:paraId="48D5EE5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（一）乙方必须按照合同约定和响应文件的实质性响应，质保期内免费承担维保。质保期结束前，进行系统测试，全面保养维护，确保正常运行，质保期后对产品维修只收取成本费。</w:t>
      </w:r>
    </w:p>
    <w:p w14:paraId="03FB46A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（二）人员培训：当产品安装调试结束后，乙方应对所使用人员进行培训，并制作培训教材以便使用。</w:t>
      </w:r>
    </w:p>
    <w:p w14:paraId="04547FE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（三）乙方应保证以优惠价格提供长期备件的供应，乙方有义务尽快提供所需要更换的部件，对于要求紧急部件，乙方应安排最快的方式运输。</w:t>
      </w:r>
    </w:p>
    <w:p w14:paraId="2CA3D60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（四）乙方必须在2小时内对甲方所提出的维修要求做出实质性反应。</w:t>
      </w:r>
    </w:p>
    <w:p w14:paraId="7CD8CF2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（五）乙方在接到故障申报后，必须在2小时内响应，需要现场维护的，4小时内到达现场，并提供7×24小时的电话技术支持。</w:t>
      </w:r>
    </w:p>
    <w:p w14:paraId="7C9CF9F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（六）乙方定期对用户进行回访，并对用户提出的技术问题及时解决。</w:t>
      </w:r>
    </w:p>
    <w:p w14:paraId="5F735166">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（七）乙方向甲方递交产品实施过程中的所有资料。以便甲方日后管理和维护。</w:t>
      </w:r>
    </w:p>
    <w:p w14:paraId="64F16A70">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九、验收</w:t>
      </w:r>
    </w:p>
    <w:p w14:paraId="73A27F1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一</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 xml:space="preserve">方根据合同要求进行验收,验收依据为合同文本、招标文件、投标文件以及由双方约定的其他协议类文本。 </w:t>
      </w:r>
    </w:p>
    <w:p w14:paraId="4BFE0B3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二</w:t>
      </w:r>
      <w:r>
        <w:rPr>
          <w:rFonts w:hint="eastAsia" w:ascii="仿宋_GB2312" w:hAnsi="仿宋_GB2312" w:eastAsia="仿宋_GB2312" w:cs="仿宋_GB2312"/>
          <w:bCs/>
          <w:sz w:val="28"/>
          <w:szCs w:val="28"/>
        </w:rPr>
        <w:t>）验收合格后，填写验收单，并向</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方提交所有资料，以便使用单位日后管理和维护。</w:t>
      </w:r>
    </w:p>
    <w:p w14:paraId="4BFFEFC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三</w:t>
      </w:r>
      <w:r>
        <w:rPr>
          <w:rFonts w:hint="eastAsia" w:ascii="仿宋_GB2312" w:hAnsi="仿宋_GB2312" w:eastAsia="仿宋_GB2312" w:cs="仿宋_GB2312"/>
          <w:bCs/>
          <w:sz w:val="28"/>
          <w:szCs w:val="28"/>
        </w:rPr>
        <w:t>）验收由</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rPr>
        <w:t>组织，</w:t>
      </w:r>
      <w:r>
        <w:rPr>
          <w:rFonts w:hint="eastAsia" w:ascii="仿宋_GB2312" w:hAnsi="仿宋_GB2312" w:eastAsia="仿宋_GB2312" w:cs="仿宋_GB2312"/>
          <w:bCs/>
          <w:sz w:val="28"/>
          <w:szCs w:val="28"/>
          <w:lang w:val="en-US" w:eastAsia="zh-CN"/>
        </w:rPr>
        <w:t>乙方</w:t>
      </w:r>
      <w:r>
        <w:rPr>
          <w:rFonts w:hint="eastAsia" w:ascii="仿宋_GB2312" w:hAnsi="仿宋_GB2312" w:eastAsia="仿宋_GB2312" w:cs="仿宋_GB2312"/>
          <w:bCs/>
          <w:sz w:val="28"/>
          <w:szCs w:val="28"/>
        </w:rPr>
        <w:t>配合进行。验收过程中所产生的费用由</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 xml:space="preserve">方承担。 </w:t>
      </w:r>
    </w:p>
    <w:p w14:paraId="1203DD6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四</w:t>
      </w:r>
      <w:r>
        <w:rPr>
          <w:rFonts w:hint="eastAsia" w:ascii="仿宋_GB2312" w:hAnsi="仿宋_GB2312" w:eastAsia="仿宋_GB2312" w:cs="仿宋_GB2312"/>
          <w:bCs/>
          <w:sz w:val="28"/>
          <w:szCs w:val="28"/>
        </w:rPr>
        <w:t>）验收标准：按国家有关规定以及</w:t>
      </w:r>
      <w:r>
        <w:rPr>
          <w:rFonts w:hint="eastAsia" w:ascii="仿宋_GB2312" w:hAnsi="仿宋_GB2312" w:eastAsia="仿宋_GB2312" w:cs="仿宋_GB2312"/>
          <w:bCs/>
          <w:sz w:val="28"/>
          <w:szCs w:val="28"/>
          <w:lang w:val="en-US" w:eastAsia="zh-CN"/>
        </w:rPr>
        <w:t>甲方</w:t>
      </w:r>
      <w:r>
        <w:rPr>
          <w:rFonts w:hint="eastAsia" w:ascii="仿宋_GB2312" w:hAnsi="仿宋_GB2312" w:eastAsia="仿宋_GB2312" w:cs="仿宋_GB2312"/>
          <w:bCs/>
          <w:sz w:val="28"/>
          <w:szCs w:val="28"/>
        </w:rPr>
        <w:t>招标文件的质量要求和技术指标、</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方的投标文件及承诺与合同约定标准进行验收；</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方、</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方双方如对质量要求和技术指标的约定标准有相互抵触或异议的事项，由</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 xml:space="preserve">方在招标与投标文件中按质量要求和技术指标比较优胜的原则确定该项的约定标准进行验收。 </w:t>
      </w:r>
    </w:p>
    <w:p w14:paraId="3E60061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五</w:t>
      </w:r>
      <w:r>
        <w:rPr>
          <w:rFonts w:hint="eastAsia" w:ascii="仿宋_GB2312" w:hAnsi="仿宋_GB2312" w:eastAsia="仿宋_GB2312" w:cs="仿宋_GB2312"/>
          <w:bCs/>
          <w:sz w:val="28"/>
          <w:szCs w:val="28"/>
        </w:rPr>
        <w:t>）验收时如发现所交付的货物有短缺、次品、损坏或其它不符合标准及本合同规定之情形者，采购方应做出详尽的现场记录，或由</w:t>
      </w: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rPr>
        <w:t>方、投标方双方签署备忘录，此现场记录或备忘录可用作补充、缺失和更换损坏部件的有效证据，由此产生的时间延误与有关费用由</w:t>
      </w:r>
      <w:r>
        <w:rPr>
          <w:rFonts w:hint="eastAsia" w:ascii="仿宋_GB2312" w:hAnsi="仿宋_GB2312" w:eastAsia="仿宋_GB2312" w:cs="仿宋_GB2312"/>
          <w:bCs/>
          <w:sz w:val="28"/>
          <w:szCs w:val="28"/>
          <w:lang w:val="en-US" w:eastAsia="zh-CN"/>
        </w:rPr>
        <w:t>乙</w:t>
      </w:r>
      <w:r>
        <w:rPr>
          <w:rFonts w:hint="eastAsia" w:ascii="仿宋_GB2312" w:hAnsi="仿宋_GB2312" w:eastAsia="仿宋_GB2312" w:cs="仿宋_GB2312"/>
          <w:bCs/>
          <w:sz w:val="28"/>
          <w:szCs w:val="28"/>
        </w:rPr>
        <w:t xml:space="preserve">方承担，验收期限相应顺延。 </w:t>
      </w:r>
    </w:p>
    <w:p w14:paraId="01DCED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六</w:t>
      </w:r>
      <w:r>
        <w:rPr>
          <w:rFonts w:hint="eastAsia" w:ascii="仿宋_GB2312" w:hAnsi="仿宋_GB2312" w:eastAsia="仿宋_GB2312" w:cs="仿宋_GB2312"/>
          <w:bCs/>
          <w:sz w:val="28"/>
          <w:szCs w:val="28"/>
        </w:rPr>
        <w:t>）如质量验收合格，双方签署质量验收报告。</w:t>
      </w:r>
    </w:p>
    <w:p w14:paraId="79088CE5">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十、违约责任</w:t>
      </w:r>
    </w:p>
    <w:p w14:paraId="2573688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（一）按《中华人民共和国民法典》中的相关条款执行。</w:t>
      </w:r>
    </w:p>
    <w:p w14:paraId="632A6B9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（二）乙方较好期每超过一天，扣除乙方合同总价款的</w:t>
      </w:r>
      <w:r>
        <w:rPr>
          <w:rFonts w:hint="eastAsia" w:ascii="仿宋_GB2312" w:hAnsi="仿宋_GB2312" w:eastAsia="仿宋_GB2312" w:cs="仿宋_GB2312"/>
          <w:bCs/>
          <w:sz w:val="28"/>
          <w:szCs w:val="28"/>
          <w:u w:val="single"/>
        </w:rPr>
        <w:t>0.2</w:t>
      </w:r>
      <w:r>
        <w:rPr>
          <w:rFonts w:hint="eastAsia" w:ascii="仿宋_GB2312" w:hAnsi="仿宋_GB2312" w:eastAsia="仿宋_GB2312" w:cs="仿宋_GB2312"/>
          <w:bCs/>
          <w:sz w:val="28"/>
          <w:szCs w:val="28"/>
        </w:rPr>
        <w:t>%，迟交产品超过30天，甲方有权拒收产品。</w:t>
      </w:r>
    </w:p>
    <w:p w14:paraId="0124E061">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按合同要求提供产品或产品质量不能满足采购技术要求，乙方必须无条件更换产品，提高技术，完善质量，否则，甲方会同监督机构有权终止合同并对乙方违约行为进行追究，同时按政府采购供应商管理办法进行相应的处罚。</w:t>
      </w:r>
    </w:p>
    <w:p w14:paraId="06583BFF">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（四）任何一方因不可抗力原因不能履行协议时，应尽快通知对方，双方均设法补偿。如仍无法履约协议，可协商延缓或撤销协议，双方责任免除。</w:t>
      </w:r>
    </w:p>
    <w:p w14:paraId="458F70C8">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bCs/>
          <w:sz w:val="28"/>
          <w:szCs w:val="28"/>
        </w:rPr>
        <w:t>十一、合同争议解决的方式</w:t>
      </w:r>
    </w:p>
    <w:p w14:paraId="259E638E">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（一）本合同在履行过程中发生的争议，由甲、乙双方当事人协商解决，协商不成的按下列第</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rPr>
        <w:t>种方式解决：</w:t>
      </w:r>
    </w:p>
    <w:p w14:paraId="550CB61D">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1.提交甲方所在地仲裁委员会仲裁；</w:t>
      </w:r>
    </w:p>
    <w:p w14:paraId="1BCA30C9">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2.依法向甲方所在地人民法院起诉。</w:t>
      </w:r>
    </w:p>
    <w:p w14:paraId="53A7B499">
      <w:pPr>
        <w:keepNext w:val="0"/>
        <w:keepLines w:val="0"/>
        <w:pageBreakBefore w:val="0"/>
        <w:widowControl w:val="0"/>
        <w:kinsoku/>
        <w:wordWrap/>
        <w:overflowPunct/>
        <w:topLinePunct w:val="0"/>
        <w:autoSpaceDE w:val="0"/>
        <w:autoSpaceDN w:val="0"/>
        <w:bidi w:val="0"/>
        <w:adjustRightInd w:val="0"/>
        <w:snapToGrid w:val="0"/>
        <w:spacing w:line="5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十二、合同生效</w:t>
      </w:r>
    </w:p>
    <w:p w14:paraId="1ED2BAE5">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（一）本合同须经甲、乙双方的法定代表人（授权代理人）在合同书上签字并加盖本单位公章后正式生效。</w:t>
      </w:r>
    </w:p>
    <w:p w14:paraId="18570736">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（二）合同生效后，甲、乙双方须严格执行本合同条款的规定，全面履行合同，违者按《中华人民共和国民法典》的有关规定承担相应责任。</w:t>
      </w:r>
    </w:p>
    <w:p w14:paraId="04EDA8BC">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（三）本合同一式</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份，甲乙双方各执</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份。</w:t>
      </w:r>
    </w:p>
    <w:p w14:paraId="57C20FFF">
      <w:pPr>
        <w:keepNext w:val="0"/>
        <w:keepLines w:val="0"/>
        <w:pageBreakBefore w:val="0"/>
        <w:widowControl w:val="0"/>
        <w:kinsoku/>
        <w:wordWrap/>
        <w:overflowPunct/>
        <w:topLinePunct w:val="0"/>
        <w:autoSpaceDE w:val="0"/>
        <w:autoSpaceDN w:val="0"/>
        <w:bidi w:val="0"/>
        <w:adjustRightInd w:val="0"/>
        <w:snapToGrid w:val="0"/>
        <w:spacing w:line="50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（四）本合同如有未尽事宜，甲、乙双方协商解决。</w:t>
      </w:r>
    </w:p>
    <w:p w14:paraId="1A43617B">
      <w:pPr>
        <w:autoSpaceDE w:val="0"/>
        <w:autoSpaceDN w:val="0"/>
        <w:adjustRightInd w:val="0"/>
        <w:snapToGrid w:val="0"/>
        <w:spacing w:line="360" w:lineRule="auto"/>
        <w:ind w:firstLine="160" w:firstLineChars="200"/>
        <w:rPr>
          <w:rFonts w:hint="eastAsia" w:ascii="仿宋_GB2312" w:hAnsi="仿宋_GB2312" w:eastAsia="仿宋_GB2312" w:cs="仿宋_GB2312"/>
          <w:bCs/>
          <w:sz w:val="8"/>
          <w:szCs w:val="8"/>
        </w:rPr>
      </w:pPr>
    </w:p>
    <w:tbl>
      <w:tblPr>
        <w:tblStyle w:val="4"/>
        <w:tblW w:w="0" w:type="auto"/>
        <w:jc w:val="center"/>
        <w:tblLayout w:type="fixed"/>
        <w:tblCellMar>
          <w:top w:w="0" w:type="dxa"/>
          <w:left w:w="108" w:type="dxa"/>
          <w:bottom w:w="0" w:type="dxa"/>
          <w:right w:w="108" w:type="dxa"/>
        </w:tblCellMar>
      </w:tblPr>
      <w:tblGrid>
        <w:gridCol w:w="4201"/>
        <w:gridCol w:w="4202"/>
      </w:tblGrid>
      <w:tr w14:paraId="738EACDA">
        <w:tblPrEx>
          <w:tblCellMar>
            <w:top w:w="0" w:type="dxa"/>
            <w:left w:w="108" w:type="dxa"/>
            <w:bottom w:w="0" w:type="dxa"/>
            <w:right w:w="108" w:type="dxa"/>
          </w:tblCellMar>
        </w:tblPrEx>
        <w:trPr>
          <w:trHeight w:val="544" w:hRule="atLeast"/>
          <w:jc w:val="center"/>
        </w:trPr>
        <w:tc>
          <w:tcPr>
            <w:tcW w:w="4201" w:type="dxa"/>
            <w:noWrap w:val="0"/>
            <w:vAlign w:val="center"/>
          </w:tcPr>
          <w:p w14:paraId="66CECA5C">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lang w:eastAsia="zh-CN"/>
              </w:rPr>
            </w:pPr>
            <w:r>
              <w:rPr>
                <w:rFonts w:hint="eastAsia" w:ascii="仿宋_GB2312" w:hAnsi="仿宋_GB2312" w:eastAsia="仿宋_GB2312" w:cs="仿宋_GB2312"/>
                <w:spacing w:val="-20"/>
                <w:kern w:val="0"/>
                <w:sz w:val="28"/>
                <w:szCs w:val="28"/>
              </w:rPr>
              <w:t>甲  方</w:t>
            </w:r>
            <w:r>
              <w:rPr>
                <w:rFonts w:hint="eastAsia" w:ascii="仿宋_GB2312" w:hAnsi="仿宋_GB2312" w:eastAsia="仿宋_GB2312" w:cs="仿宋_GB2312"/>
                <w:spacing w:val="-20"/>
                <w:kern w:val="0"/>
                <w:sz w:val="28"/>
                <w:szCs w:val="28"/>
                <w:lang w:eastAsia="zh-CN"/>
              </w:rPr>
              <w:t>：</w:t>
            </w:r>
          </w:p>
        </w:tc>
        <w:tc>
          <w:tcPr>
            <w:tcW w:w="4202" w:type="dxa"/>
            <w:noWrap w:val="0"/>
            <w:vAlign w:val="center"/>
          </w:tcPr>
          <w:p w14:paraId="3EAC178E">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lang w:eastAsia="zh-CN"/>
              </w:rPr>
            </w:pPr>
            <w:r>
              <w:rPr>
                <w:rFonts w:hint="eastAsia" w:ascii="仿宋_GB2312" w:hAnsi="仿宋_GB2312" w:eastAsia="仿宋_GB2312" w:cs="仿宋_GB2312"/>
                <w:spacing w:val="-20"/>
                <w:kern w:val="0"/>
                <w:sz w:val="28"/>
                <w:szCs w:val="28"/>
              </w:rPr>
              <w:t>乙  方</w:t>
            </w:r>
            <w:r>
              <w:rPr>
                <w:rFonts w:hint="eastAsia" w:ascii="仿宋_GB2312" w:hAnsi="仿宋_GB2312" w:eastAsia="仿宋_GB2312" w:cs="仿宋_GB2312"/>
                <w:spacing w:val="-20"/>
                <w:kern w:val="0"/>
                <w:sz w:val="28"/>
                <w:szCs w:val="28"/>
                <w:lang w:eastAsia="zh-CN"/>
              </w:rPr>
              <w:t>：</w:t>
            </w:r>
          </w:p>
        </w:tc>
      </w:tr>
      <w:tr w14:paraId="015B9AE3">
        <w:tblPrEx>
          <w:tblCellMar>
            <w:top w:w="0" w:type="dxa"/>
            <w:left w:w="108" w:type="dxa"/>
            <w:bottom w:w="0" w:type="dxa"/>
            <w:right w:w="108" w:type="dxa"/>
          </w:tblCellMar>
        </w:tblPrEx>
        <w:trPr>
          <w:trHeight w:val="544" w:hRule="atLeast"/>
          <w:jc w:val="center"/>
        </w:trPr>
        <w:tc>
          <w:tcPr>
            <w:tcW w:w="4201" w:type="dxa"/>
            <w:noWrap w:val="0"/>
            <w:vAlign w:val="center"/>
          </w:tcPr>
          <w:p w14:paraId="470FA326">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c>
          <w:tcPr>
            <w:tcW w:w="4202" w:type="dxa"/>
            <w:noWrap w:val="0"/>
            <w:vAlign w:val="center"/>
          </w:tcPr>
          <w:p w14:paraId="5203D81D">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（盖章）</w:t>
            </w:r>
          </w:p>
        </w:tc>
      </w:tr>
      <w:tr w14:paraId="27193AA0">
        <w:tblPrEx>
          <w:tblCellMar>
            <w:top w:w="0" w:type="dxa"/>
            <w:left w:w="108" w:type="dxa"/>
            <w:bottom w:w="0" w:type="dxa"/>
            <w:right w:w="108" w:type="dxa"/>
          </w:tblCellMar>
        </w:tblPrEx>
        <w:trPr>
          <w:trHeight w:val="544" w:hRule="atLeast"/>
          <w:jc w:val="center"/>
        </w:trPr>
        <w:tc>
          <w:tcPr>
            <w:tcW w:w="4201" w:type="dxa"/>
            <w:noWrap w:val="0"/>
            <w:vAlign w:val="center"/>
          </w:tcPr>
          <w:p w14:paraId="24A82F1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地址： </w:t>
            </w:r>
          </w:p>
        </w:tc>
        <w:tc>
          <w:tcPr>
            <w:tcW w:w="4202" w:type="dxa"/>
            <w:noWrap w:val="0"/>
            <w:vAlign w:val="center"/>
          </w:tcPr>
          <w:p w14:paraId="6090572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地址：</w:t>
            </w:r>
          </w:p>
        </w:tc>
      </w:tr>
      <w:tr w14:paraId="2D92AF9E">
        <w:tblPrEx>
          <w:tblCellMar>
            <w:top w:w="0" w:type="dxa"/>
            <w:left w:w="108" w:type="dxa"/>
            <w:bottom w:w="0" w:type="dxa"/>
            <w:right w:w="108" w:type="dxa"/>
          </w:tblCellMar>
        </w:tblPrEx>
        <w:trPr>
          <w:trHeight w:val="544" w:hRule="atLeast"/>
          <w:jc w:val="center"/>
        </w:trPr>
        <w:tc>
          <w:tcPr>
            <w:tcW w:w="4201" w:type="dxa"/>
            <w:noWrap w:val="0"/>
            <w:vAlign w:val="center"/>
          </w:tcPr>
          <w:p w14:paraId="0F2888B8">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 xml:space="preserve">法定代表人： </w:t>
            </w:r>
          </w:p>
        </w:tc>
        <w:tc>
          <w:tcPr>
            <w:tcW w:w="4202" w:type="dxa"/>
            <w:noWrap w:val="0"/>
            <w:vAlign w:val="center"/>
          </w:tcPr>
          <w:p w14:paraId="2B131B8A">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法定代表人：</w:t>
            </w:r>
          </w:p>
        </w:tc>
      </w:tr>
      <w:tr w14:paraId="37B4F7C9">
        <w:tblPrEx>
          <w:tblCellMar>
            <w:top w:w="0" w:type="dxa"/>
            <w:left w:w="108" w:type="dxa"/>
            <w:bottom w:w="0" w:type="dxa"/>
            <w:right w:w="108" w:type="dxa"/>
          </w:tblCellMar>
        </w:tblPrEx>
        <w:trPr>
          <w:trHeight w:val="544" w:hRule="atLeast"/>
          <w:jc w:val="center"/>
        </w:trPr>
        <w:tc>
          <w:tcPr>
            <w:tcW w:w="4201" w:type="dxa"/>
            <w:noWrap w:val="0"/>
            <w:vAlign w:val="center"/>
          </w:tcPr>
          <w:p w14:paraId="6FAB399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c>
          <w:tcPr>
            <w:tcW w:w="4202" w:type="dxa"/>
            <w:noWrap w:val="0"/>
            <w:vAlign w:val="center"/>
          </w:tcPr>
          <w:p w14:paraId="1AC94263">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被授权代表：</w:t>
            </w:r>
          </w:p>
        </w:tc>
      </w:tr>
      <w:tr w14:paraId="3A88B595">
        <w:tblPrEx>
          <w:tblCellMar>
            <w:top w:w="0" w:type="dxa"/>
            <w:left w:w="108" w:type="dxa"/>
            <w:bottom w:w="0" w:type="dxa"/>
            <w:right w:w="108" w:type="dxa"/>
          </w:tblCellMar>
        </w:tblPrEx>
        <w:trPr>
          <w:trHeight w:val="544" w:hRule="atLeast"/>
          <w:jc w:val="center"/>
        </w:trPr>
        <w:tc>
          <w:tcPr>
            <w:tcW w:w="4201" w:type="dxa"/>
            <w:noWrap w:val="0"/>
            <w:vAlign w:val="center"/>
          </w:tcPr>
          <w:p w14:paraId="353AFF7E">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c>
          <w:tcPr>
            <w:tcW w:w="4202" w:type="dxa"/>
            <w:noWrap w:val="0"/>
            <w:vAlign w:val="center"/>
          </w:tcPr>
          <w:p w14:paraId="2D4BCB8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电话：</w:t>
            </w:r>
          </w:p>
        </w:tc>
      </w:tr>
      <w:tr w14:paraId="291510A0">
        <w:tblPrEx>
          <w:tblCellMar>
            <w:top w:w="0" w:type="dxa"/>
            <w:left w:w="108" w:type="dxa"/>
            <w:bottom w:w="0" w:type="dxa"/>
            <w:right w:w="108" w:type="dxa"/>
          </w:tblCellMar>
        </w:tblPrEx>
        <w:trPr>
          <w:trHeight w:val="544" w:hRule="atLeast"/>
          <w:jc w:val="center"/>
        </w:trPr>
        <w:tc>
          <w:tcPr>
            <w:tcW w:w="4201" w:type="dxa"/>
            <w:noWrap w:val="0"/>
            <w:vAlign w:val="center"/>
          </w:tcPr>
          <w:p w14:paraId="2653DB0B">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c>
          <w:tcPr>
            <w:tcW w:w="4202" w:type="dxa"/>
            <w:noWrap w:val="0"/>
            <w:vAlign w:val="center"/>
          </w:tcPr>
          <w:p w14:paraId="742E5577">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传真：</w:t>
            </w:r>
          </w:p>
        </w:tc>
      </w:tr>
      <w:tr w14:paraId="467A8710">
        <w:tblPrEx>
          <w:tblCellMar>
            <w:top w:w="0" w:type="dxa"/>
            <w:left w:w="108" w:type="dxa"/>
            <w:bottom w:w="0" w:type="dxa"/>
            <w:right w:w="108" w:type="dxa"/>
          </w:tblCellMar>
        </w:tblPrEx>
        <w:trPr>
          <w:trHeight w:val="544" w:hRule="atLeast"/>
          <w:jc w:val="center"/>
        </w:trPr>
        <w:tc>
          <w:tcPr>
            <w:tcW w:w="4201" w:type="dxa"/>
            <w:noWrap w:val="0"/>
            <w:vAlign w:val="center"/>
          </w:tcPr>
          <w:p w14:paraId="75268B6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c>
          <w:tcPr>
            <w:tcW w:w="4202" w:type="dxa"/>
            <w:noWrap w:val="0"/>
            <w:vAlign w:val="center"/>
          </w:tcPr>
          <w:p w14:paraId="2797F932">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开户银行：</w:t>
            </w:r>
          </w:p>
        </w:tc>
      </w:tr>
      <w:tr w14:paraId="07E20CC1">
        <w:tblPrEx>
          <w:tblCellMar>
            <w:top w:w="0" w:type="dxa"/>
            <w:left w:w="108" w:type="dxa"/>
            <w:bottom w:w="0" w:type="dxa"/>
            <w:right w:w="108" w:type="dxa"/>
          </w:tblCellMar>
        </w:tblPrEx>
        <w:trPr>
          <w:trHeight w:val="544" w:hRule="atLeast"/>
          <w:jc w:val="center"/>
        </w:trPr>
        <w:tc>
          <w:tcPr>
            <w:tcW w:w="4201" w:type="dxa"/>
            <w:noWrap w:val="0"/>
            <w:vAlign w:val="center"/>
          </w:tcPr>
          <w:p w14:paraId="393E2240">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c>
          <w:tcPr>
            <w:tcW w:w="4202" w:type="dxa"/>
            <w:noWrap w:val="0"/>
            <w:vAlign w:val="center"/>
          </w:tcPr>
          <w:p w14:paraId="2F54CBA8">
            <w:pPr>
              <w:keepNext w:val="0"/>
              <w:keepLines w:val="0"/>
              <w:pageBreakBefore w:val="0"/>
              <w:widowControl/>
              <w:kinsoku w:val="0"/>
              <w:wordWrap/>
              <w:overflowPunct/>
              <w:topLinePunct w:val="0"/>
              <w:autoSpaceDE w:val="0"/>
              <w:autoSpaceDN w:val="0"/>
              <w:bidi w:val="0"/>
              <w:adjustRightInd w:val="0"/>
              <w:snapToGrid w:val="0"/>
              <w:ind w:firstLine="0" w:firstLineChars="0"/>
              <w:textAlignment w:val="baseline"/>
              <w:rPr>
                <w:rFonts w:hint="eastAsia" w:ascii="仿宋_GB2312" w:hAnsi="仿宋_GB2312" w:eastAsia="仿宋_GB2312" w:cs="仿宋_GB2312"/>
                <w:spacing w:val="-20"/>
                <w:kern w:val="0"/>
                <w:sz w:val="28"/>
                <w:szCs w:val="28"/>
              </w:rPr>
            </w:pPr>
            <w:r>
              <w:rPr>
                <w:rFonts w:hint="eastAsia" w:ascii="仿宋_GB2312" w:hAnsi="仿宋_GB2312" w:eastAsia="仿宋_GB2312" w:cs="仿宋_GB2312"/>
                <w:spacing w:val="-20"/>
                <w:kern w:val="0"/>
                <w:sz w:val="28"/>
                <w:szCs w:val="28"/>
              </w:rPr>
              <w:t>日期：</w:t>
            </w:r>
          </w:p>
        </w:tc>
      </w:tr>
    </w:tbl>
    <w:p w14:paraId="1EFA3125">
      <w:pPr>
        <w:pStyle w:val="3"/>
        <w:ind w:left="0" w:leftChars="0" w:firstLine="0" w:firstLineChars="0"/>
        <w:rPr>
          <w:rFonts w:hint="eastAsia" w:eastAsia="宋体"/>
          <w:lang w:eastAsia="zh-CN"/>
        </w:rPr>
      </w:pPr>
    </w:p>
    <w:p w14:paraId="13D98585"/>
    <w:sectPr>
      <w:headerReference r:id="rId5" w:type="default"/>
      <w:footerReference r:id="rId6" w:type="default"/>
      <w:pgSz w:w="11900" w:h="16840"/>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D899F">
    <w:pPr>
      <w:spacing w:line="173" w:lineRule="auto"/>
      <w:ind w:left="3694"/>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86DE3">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B07BA"/>
    <w:rsid w:val="038D3451"/>
    <w:rsid w:val="03C2134C"/>
    <w:rsid w:val="051A51B8"/>
    <w:rsid w:val="0600615C"/>
    <w:rsid w:val="07F615C4"/>
    <w:rsid w:val="086E3851"/>
    <w:rsid w:val="09F91840"/>
    <w:rsid w:val="0B8B296C"/>
    <w:rsid w:val="0D2E35AF"/>
    <w:rsid w:val="0DC65EDD"/>
    <w:rsid w:val="0EB421D9"/>
    <w:rsid w:val="11A958FA"/>
    <w:rsid w:val="12582E7C"/>
    <w:rsid w:val="127B54E8"/>
    <w:rsid w:val="12AA1929"/>
    <w:rsid w:val="14891A12"/>
    <w:rsid w:val="16FA09A5"/>
    <w:rsid w:val="1893431C"/>
    <w:rsid w:val="1A642D06"/>
    <w:rsid w:val="1B723200"/>
    <w:rsid w:val="1B8371BB"/>
    <w:rsid w:val="1C5841AC"/>
    <w:rsid w:val="1F3E1D77"/>
    <w:rsid w:val="26FB67A0"/>
    <w:rsid w:val="2BF973DD"/>
    <w:rsid w:val="30420F9B"/>
    <w:rsid w:val="316777CF"/>
    <w:rsid w:val="3212499D"/>
    <w:rsid w:val="35692676"/>
    <w:rsid w:val="36AD2EE7"/>
    <w:rsid w:val="3CF90C34"/>
    <w:rsid w:val="3D2428B6"/>
    <w:rsid w:val="3EF618CF"/>
    <w:rsid w:val="3FE67B95"/>
    <w:rsid w:val="41067DC3"/>
    <w:rsid w:val="45667082"/>
    <w:rsid w:val="46184820"/>
    <w:rsid w:val="47BA5463"/>
    <w:rsid w:val="4EE47996"/>
    <w:rsid w:val="4FAD422B"/>
    <w:rsid w:val="510F6820"/>
    <w:rsid w:val="54BC281B"/>
    <w:rsid w:val="558570B1"/>
    <w:rsid w:val="565C2507"/>
    <w:rsid w:val="567333AD"/>
    <w:rsid w:val="569F23F4"/>
    <w:rsid w:val="58D345D7"/>
    <w:rsid w:val="5BCA1CC1"/>
    <w:rsid w:val="5F146EA6"/>
    <w:rsid w:val="5F645F89"/>
    <w:rsid w:val="611759A9"/>
    <w:rsid w:val="65B23EF2"/>
    <w:rsid w:val="68686AEA"/>
    <w:rsid w:val="694A4441"/>
    <w:rsid w:val="6C944351"/>
    <w:rsid w:val="74842EFD"/>
    <w:rsid w:val="78104AA8"/>
    <w:rsid w:val="7AD41DBD"/>
    <w:rsid w:val="7B25086A"/>
    <w:rsid w:val="7BD76009"/>
    <w:rsid w:val="7DBA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360" w:lineRule="auto"/>
      <w:ind w:firstLine="1144" w:firstLineChars="200"/>
      <w:jc w:val="left"/>
      <w:textAlignment w:val="baseline"/>
    </w:pPr>
    <w:rPr>
      <w:rFonts w:ascii="宋体" w:hAnsi="宋体" w:eastAsia="宋体" w:cs="Arial"/>
      <w:snapToGrid w:val="0"/>
      <w:color w:val="000000"/>
      <w:kern w:val="0"/>
      <w:sz w:val="21"/>
      <w:szCs w:val="21"/>
      <w:lang w:val="en-US" w:eastAsia="en-US" w:bidi="ar-SA"/>
    </w:rPr>
  </w:style>
  <w:style w:type="paragraph" w:styleId="2">
    <w:name w:val="heading 1"/>
    <w:basedOn w:val="1"/>
    <w:next w:val="1"/>
    <w:link w:val="6"/>
    <w:qFormat/>
    <w:uiPriority w:val="0"/>
    <w:pPr>
      <w:keepNext/>
      <w:keepLines/>
      <w:spacing w:beforeLines="0" w:beforeAutospacing="0" w:afterLines="0" w:afterAutospacing="0" w:line="480" w:lineRule="auto"/>
      <w:ind w:firstLine="0" w:firstLineChars="0"/>
      <w:jc w:val="center"/>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character" w:customStyle="1" w:styleId="6">
    <w:name w:val="标题 1 Char"/>
    <w:link w:val="2"/>
    <w:qFormat/>
    <w:uiPriority w:val="0"/>
    <w:rPr>
      <w:b/>
      <w:kern w:val="44"/>
      <w:sz w:val="4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2543</Words>
  <Characters>2583</Characters>
  <Lines>0</Lines>
  <Paragraphs>0</Paragraphs>
  <TotalTime>0</TotalTime>
  <ScaleCrop>false</ScaleCrop>
  <LinksUpToDate>false</LinksUpToDate>
  <CharactersWithSpaces>2695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2025-08-07T07:32:00Z</dcterms:created>
  <dc:creator>admin</dc:creator>
  <cp:lastModifiedBy>青筝</cp:lastModifiedBy>
  <dcterms:modified xsi:type="dcterms:W3CDTF">2026-07-13T02:22:56Z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eyJoZGlkIjoiYjBhNGVkMGYwNmMzMTI3MzZkY2RhZGM3NWUzOWFkNWEiLCJ1c2VySWQiOiIzNDIwNDE4ODUifQ==</vt:lpwstr>
  </property>
  <property fmtid="{D5CDD505-2E9C-101B-9397-08002B2CF9AE}" pid="4" name="ICV">
    <vt:lpwstr>0E7D2203B7614FA1BA0987DB4145F120_12</vt:lpwstr>
  </property>
</Properties>
</file>