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版本号：SCZB2026-ZB-0586-01420260903003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研学旅行实训室建设项目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SCZB2026-ZB-0586-014</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研学旅行实训室建设项目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SCZB2026-ZB-0586-014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研学旅行实训室建设项目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陕西青年职业学院研学旅行实训室建设，具体详细内容见采购文件。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陕西青年职业学院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采购包1：708,300.00元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智慧黑板</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银行账号：102860079160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号)收费标准下浮40%收取。 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陕西青年职业学院研学旅行实训室建设，具体详细内容见采购文件。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708,300.00</w:t>
      </w:r>
    </w:p>
    <w:p>
      <w:pPr>
        <w:pStyle w:val="null3"/>
      </w:pPr>
      <w:r>
        <w:rPr>
          <w:rFonts w:ascii="仿宋_GB2312" w:hAnsi="仿宋_GB2312" w:cs="仿宋_GB2312" w:eastAsia="仿宋_GB2312"/>
        </w:rPr>
        <w:t>采购包最高限价（元）: 639,200.00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708,300.00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84"/>
              <w:gridCol w:w="356"/>
              <w:gridCol w:w="1671"/>
              <w:gridCol w:w="170"/>
              <w:gridCol w:w="170"/>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设备名称</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主要功能和技术要求</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多功能讲桌</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A、产品概述</w:t>
                  </w:r>
                  <w:r>
                    <w:br/>
                  </w:r>
                  <w:r>
                    <w:rPr>
                      <w:rFonts w:ascii="仿宋_GB2312" w:hAnsi="仿宋_GB2312" w:cs="仿宋_GB2312" w:eastAsia="仿宋_GB2312"/>
                      <w:sz w:val="19"/>
                      <w:color w:val="000000"/>
                    </w:rPr>
                    <w:t>1、L*W*H（mm）：≦1000*705*1132（±5mm） ；其中操作台面高度（mm）：900（±5mm）</w:t>
                  </w:r>
                  <w:r>
                    <w:br/>
                  </w:r>
                  <w:r>
                    <w:rPr>
                      <w:rFonts w:ascii="仿宋_GB2312" w:hAnsi="仿宋_GB2312" w:cs="仿宋_GB2312" w:eastAsia="仿宋_GB2312"/>
                      <w:sz w:val="19"/>
                      <w:color w:val="000000"/>
                    </w:rPr>
                    <w:t>2、钢木结合，主体采用1.0-2.0mm冷轧钢材，保证产品耐固性，棱边圆弧化设计保证安全性；桌面采用25mm厚高密度纤维板材料，内凹设计。背面采用18mm厚高密度纤维板材料，可供学校进行LOGO定制。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智慧黑板（双屏）</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智慧黑板采用平面结构设计，采用四段式结构方式，整块黑板可支持水笔、普通粉笔、无尘粉笔等多种类型笔书写，智能交互黑板单块主屏显示尺寸≥86 英寸，分辨率≥3840*2160；采用电容触控技术，在 Windows、Android、国产化操作系统环境下支持≥50 点同时触控。</w:t>
                  </w:r>
                  <w:r>
                    <w:br/>
                  </w:r>
                  <w:r>
                    <w:rPr>
                      <w:rFonts w:ascii="仿宋_GB2312" w:hAnsi="仿宋_GB2312" w:cs="仿宋_GB2312" w:eastAsia="仿宋_GB2312"/>
                      <w:sz w:val="19"/>
                      <w:color w:val="000000"/>
                    </w:rPr>
                    <w:t>2. 智能交互黑板表面玻璃采用高强度钢化玻璃，AG防眩光，厚度≤3.2mm，硬度≥莫氏7级或≥9H 铅笔硬度。</w:t>
                  </w:r>
                  <w:r>
                    <w:br/>
                  </w:r>
                  <w:r>
                    <w:rPr>
                      <w:rFonts w:ascii="仿宋_GB2312" w:hAnsi="仿宋_GB2312" w:cs="仿宋_GB2312" w:eastAsia="仿宋_GB2312"/>
                      <w:sz w:val="19"/>
                      <w:color w:val="000000"/>
                    </w:rPr>
                    <w:t>3.智能交互黑板前置面板至少具备1路HDMI接口（非转接），2路USB3.0接口，1路全功能的Type-C接口。</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智能交互黑板采用≥12核国产化驱动芯片，8核CPU、4核GPU。 Android 系统版本≥14.0，内存≥4G，存储≥32G。</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采用针孔阵列发声设计，2.2声道，不少于6个发声单元，最大功率≥80W, 扬声器在100%音量下，1米处声压级≥90dB，10米处声压级≥80dB；最低谐振频率不高于100Hz。</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内置一体化超高清5K摄像头，单颗摄像头有效像素＞1900W，可输出最大分辨率5104*3864的图片与视频，支持搭配AI软件实现自动点名点数功能，具备指示灯工作状态提示。</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智能交互黑板内置8阵列麦克风，拾音角度≥180°，可用于对教室环境音频进行采集。</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智能交互黑板具备Wi-Fi 6无线网卡及蓝牙5.4独立模块并支持单独拆卸。</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内置电脑配置</w:t>
                  </w:r>
                  <w:r>
                    <w:br/>
                  </w:r>
                  <w:r>
                    <w:rPr>
                      <w:rFonts w:ascii="仿宋_GB2312" w:hAnsi="仿宋_GB2312" w:cs="仿宋_GB2312" w:eastAsia="仿宋_GB2312"/>
                      <w:sz w:val="19"/>
                      <w:color w:val="000000"/>
                    </w:rPr>
                    <w:t>80pin Intel通用标准接口,即插即用，按压式卡扣设计，易于维护。</w:t>
                  </w:r>
                  <w:r>
                    <w:br/>
                  </w:r>
                  <w:r>
                    <w:rPr>
                      <w:rFonts w:ascii="仿宋_GB2312" w:hAnsi="仿宋_GB2312" w:cs="仿宋_GB2312" w:eastAsia="仿宋_GB2312"/>
                      <w:sz w:val="19"/>
                      <w:color w:val="000000"/>
                    </w:rPr>
                    <w:t>CPU采用Intel第11代及以上平台处理器酷睿I5处理器。</w:t>
                  </w:r>
                  <w:r>
                    <w:br/>
                  </w:r>
                  <w:r>
                    <w:rPr>
                      <w:rFonts w:ascii="仿宋_GB2312" w:hAnsi="仿宋_GB2312" w:cs="仿宋_GB2312" w:eastAsia="仿宋_GB2312"/>
                      <w:sz w:val="19"/>
                      <w:color w:val="000000"/>
                    </w:rPr>
                    <w:t>内存：≥8G DDR4。</w:t>
                  </w:r>
                  <w:r>
                    <w:br/>
                  </w:r>
                  <w:r>
                    <w:rPr>
                      <w:rFonts w:ascii="仿宋_GB2312" w:hAnsi="仿宋_GB2312" w:cs="仿宋_GB2312" w:eastAsia="仿宋_GB2312"/>
                      <w:sz w:val="19"/>
                      <w:color w:val="000000"/>
                    </w:rPr>
                    <w:t>硬盘：≥256G SSD固态硬盘。</w:t>
                  </w:r>
                  <w:r>
                    <w:br/>
                  </w:r>
                  <w:r>
                    <w:rPr>
                      <w:rFonts w:ascii="仿宋_GB2312" w:hAnsi="仿宋_GB2312" w:cs="仿宋_GB2312" w:eastAsia="仿宋_GB2312"/>
                      <w:sz w:val="19"/>
                      <w:color w:val="000000"/>
                    </w:rPr>
                    <w:t>OPS具备独立复位按键。</w:t>
                  </w:r>
                  <w:r>
                    <w:br/>
                  </w:r>
                  <w:r>
                    <w:rPr>
                      <w:rFonts w:ascii="仿宋_GB2312" w:hAnsi="仿宋_GB2312" w:cs="仿宋_GB2312" w:eastAsia="仿宋_GB2312"/>
                      <w:sz w:val="19"/>
                      <w:color w:val="000000"/>
                    </w:rPr>
                    <w:t>接口：整机非外扩展具备6个USB接口；具有独立非外扩展的输出接口：≥1路HDMI等；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服务器</w:t>
                  </w:r>
                </w:p>
              </w:tc>
              <w:tc>
                <w:tcPr>
                  <w:tcW w:type="dxa" w:w="16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1、2U机架式服务器；</w:t>
                  </w:r>
                </w:p>
                <w:p>
                  <w:pPr>
                    <w:pStyle w:val="null3"/>
                    <w:jc w:val="both"/>
                  </w:pPr>
                  <w:r>
                    <w:rPr>
                      <w:rFonts w:ascii="仿宋_GB2312" w:hAnsi="仿宋_GB2312" w:cs="仿宋_GB2312" w:eastAsia="仿宋_GB2312"/>
                      <w:sz w:val="19"/>
                      <w:color w:val="000000"/>
                    </w:rPr>
                    <w:t>2、不小于8盘位；</w:t>
                  </w:r>
                </w:p>
                <w:p>
                  <w:pPr>
                    <w:pStyle w:val="null3"/>
                    <w:jc w:val="both"/>
                  </w:pPr>
                  <w:r>
                    <w:rPr>
                      <w:rFonts w:ascii="仿宋_GB2312" w:hAnsi="仿宋_GB2312" w:cs="仿宋_GB2312" w:eastAsia="仿宋_GB2312"/>
                      <w:sz w:val="19"/>
                      <w:color w:val="000000"/>
                    </w:rPr>
                    <w:t>3、CPU不小于主频1.9G 核心8核；</w:t>
                  </w:r>
                </w:p>
                <w:p>
                  <w:pPr>
                    <w:pStyle w:val="null3"/>
                    <w:jc w:val="both"/>
                  </w:pPr>
                  <w:r>
                    <w:rPr>
                      <w:rFonts w:ascii="仿宋_GB2312" w:hAnsi="仿宋_GB2312" w:cs="仿宋_GB2312" w:eastAsia="仿宋_GB2312"/>
                      <w:sz w:val="19"/>
                      <w:color w:val="000000"/>
                    </w:rPr>
                    <w:t>4、内存：不低于16GB DDR4；</w:t>
                  </w:r>
                </w:p>
                <w:p>
                  <w:pPr>
                    <w:pStyle w:val="null3"/>
                    <w:jc w:val="both"/>
                  </w:pPr>
                  <w:r>
                    <w:rPr>
                      <w:rFonts w:ascii="仿宋_GB2312" w:hAnsi="仿宋_GB2312" w:cs="仿宋_GB2312" w:eastAsia="仿宋_GB2312"/>
                      <w:sz w:val="19"/>
                      <w:color w:val="000000"/>
                    </w:rPr>
                    <w:t>5、硬盘：不低于2*600G，SAS 10K 2.5寸；</w:t>
                  </w:r>
                </w:p>
                <w:p>
                  <w:pPr>
                    <w:pStyle w:val="null3"/>
                    <w:jc w:val="both"/>
                  </w:pPr>
                  <w:r>
                    <w:rPr>
                      <w:rFonts w:ascii="仿宋_GB2312" w:hAnsi="仿宋_GB2312" w:cs="仿宋_GB2312" w:eastAsia="仿宋_GB2312"/>
                      <w:sz w:val="19"/>
                      <w:color w:val="000000"/>
                    </w:rPr>
                    <w:t>6、电源不小于750W；</w:t>
                  </w:r>
                </w:p>
              </w:tc>
              <w:tc>
                <w:tcPr>
                  <w:tcW w:type="dxa" w:w="1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桌子</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1.材料说明:实木、金属</w:t>
                  </w:r>
                </w:p>
                <w:p>
                  <w:pPr>
                    <w:pStyle w:val="null3"/>
                    <w:jc w:val="left"/>
                  </w:pPr>
                  <w:r>
                    <w:rPr>
                      <w:rFonts w:ascii="仿宋_GB2312" w:hAnsi="仿宋_GB2312" w:cs="仿宋_GB2312" w:eastAsia="仿宋_GB2312"/>
                      <w:sz w:val="19"/>
                      <w:color w:val="000000"/>
                    </w:rPr>
                    <w:t>2.所有板材都经过消甲醛处理，板材甲醛释放量均优于环保水平。保证家具的环保安全无污染:</w:t>
                  </w:r>
                </w:p>
                <w:p>
                  <w:pPr>
                    <w:pStyle w:val="null3"/>
                    <w:jc w:val="left"/>
                  </w:pPr>
                  <w:r>
                    <w:rPr>
                      <w:rFonts w:ascii="仿宋_GB2312" w:hAnsi="仿宋_GB2312" w:cs="仿宋_GB2312" w:eastAsia="仿宋_GB2312"/>
                      <w:sz w:val="19"/>
                      <w:color w:val="000000"/>
                    </w:rPr>
                    <w:t>3.五金配件，长久使用不变形；</w:t>
                  </w:r>
                </w:p>
                <w:p>
                  <w:pPr>
                    <w:pStyle w:val="null3"/>
                    <w:jc w:val="left"/>
                  </w:pPr>
                  <w:r>
                    <w:rPr>
                      <w:rFonts w:ascii="仿宋_GB2312" w:hAnsi="仿宋_GB2312" w:cs="仿宋_GB2312" w:eastAsia="仿宋_GB2312"/>
                      <w:sz w:val="19"/>
                      <w:color w:val="000000"/>
                    </w:rPr>
                    <w:t>4.配套6把椅子；</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教师椅</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1、面料：表面采用环保涤纶网面</w:t>
                  </w:r>
                </w:p>
                <w:p>
                  <w:pPr>
                    <w:pStyle w:val="null3"/>
                    <w:jc w:val="left"/>
                  </w:pPr>
                  <w:r>
                    <w:rPr>
                      <w:rFonts w:ascii="仿宋_GB2312" w:hAnsi="仿宋_GB2312" w:cs="仿宋_GB2312" w:eastAsia="仿宋_GB2312"/>
                      <w:sz w:val="19"/>
                      <w:color w:val="000000"/>
                    </w:rPr>
                    <w:t>2、泡棉：采用定型压缩海绵，密度为 35﹟标准以上，表面覆有防止老化变形保护膜</w:t>
                  </w:r>
                </w:p>
                <w:p>
                  <w:pPr>
                    <w:pStyle w:val="null3"/>
                    <w:jc w:val="left"/>
                  </w:pPr>
                  <w:r>
                    <w:rPr>
                      <w:rFonts w:ascii="仿宋_GB2312" w:hAnsi="仿宋_GB2312" w:cs="仿宋_GB2312" w:eastAsia="仿宋_GB2312"/>
                      <w:sz w:val="19"/>
                      <w:color w:val="000000"/>
                    </w:rPr>
                    <w:t>3、脚架：310双加强筋五脚，2.5厚加厚底盘，pu脚轮</w:t>
                  </w:r>
                </w:p>
                <w:p>
                  <w:pPr>
                    <w:pStyle w:val="null3"/>
                    <w:jc w:val="left"/>
                  </w:pPr>
                  <w:r>
                    <w:rPr>
                      <w:rFonts w:ascii="仿宋_GB2312" w:hAnsi="仿宋_GB2312" w:cs="仿宋_GB2312" w:eastAsia="仿宋_GB2312"/>
                      <w:sz w:val="19"/>
                      <w:color w:val="000000"/>
                    </w:rPr>
                    <w:t>4、背网高：不低于0.58m，脚架高：不低于0.5m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研学旅行指导师实训平台（核心产品）</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研学旅行指导师实训平台是一款面向职业教育与文旅行业，专为研学旅行管理与服务、旅游管理、酒店管理、社会工作等专业打造的全流程、一体化、智能化仿真实训平台。平台严格按照研学旅行项目全生命周期运营逻辑设计，深度融合地图标注、AI智能分析、多人协同编辑、情景化演练、标准化输出等技术，完整覆盖需求调研、资源采集与评估、课程开发、方案编制、活动准备、安全防控、现场实施、应急处理、评价反馈等核心工作环节，为院校与机构提供“教—学—练—协—评—创”六位一体的实训解决方案，全面培养学生的研学策划能力、课程设计能力、组织执行能力、沟通服务能力、安全应急能力与综合管理能力，是研学指导师人才培养与行业培训的标准化实训工具。</w:t>
                  </w:r>
                </w:p>
                <w:p>
                  <w:pPr>
                    <w:pStyle w:val="null3"/>
                    <w:jc w:val="both"/>
                  </w:pPr>
                  <w:r>
                    <w:rPr>
                      <w:rFonts w:ascii="仿宋_GB2312" w:hAnsi="仿宋_GB2312" w:cs="仿宋_GB2312" w:eastAsia="仿宋_GB2312"/>
                      <w:sz w:val="19"/>
                    </w:rPr>
                    <w:t>一、学生端核心功能</w:t>
                  </w:r>
                </w:p>
                <w:p>
                  <w:pPr>
                    <w:pStyle w:val="null3"/>
                    <w:jc w:val="both"/>
                  </w:pPr>
                  <w:r>
                    <w:rPr>
                      <w:rFonts w:ascii="仿宋_GB2312" w:hAnsi="仿宋_GB2312" w:cs="仿宋_GB2312" w:eastAsia="仿宋_GB2312"/>
                      <w:sz w:val="19"/>
                    </w:rPr>
                    <w:t>（1）信息收集，需求调研，支持访谈提纲的新增、编辑、删除与信息管理，可针对研学课程的教学目标、基地资源适配、学生学情、家长及学校需求等多场景，自定义调研问题库；支持调研对象的标签化管理，可按学校、年级、师生角色、调研场景等维度进行筛选分类，调研记录可与对应研学项目绑定归档，实现全流程可追溯。</w:t>
                  </w:r>
                </w:p>
                <w:p>
                  <w:pPr>
                    <w:pStyle w:val="null3"/>
                    <w:jc w:val="both"/>
                  </w:pPr>
                  <w:r>
                    <w:rPr>
                      <w:rFonts w:ascii="仿宋_GB2312" w:hAnsi="仿宋_GB2312" w:cs="仿宋_GB2312" w:eastAsia="仿宋_GB2312"/>
                      <w:sz w:val="19"/>
                    </w:rPr>
                    <w:t>（2）设计问卷调研与访谈提纲，访谈提纲可以进行新增和编辑功能，可以对用户进行信息的采集，其中包含筛选、买单、等方面的调研。调研问卷用户可自行对其进行问卷的编写，并且可以开启和关闭二维码，二维码可用移动端进行扫码进行回答问卷。调研报告： 将前面收集的信息进行汇总，用AI分析出需求调研的信息。</w:t>
                  </w:r>
                </w:p>
                <w:p>
                  <w:pPr>
                    <w:pStyle w:val="null3"/>
                    <w:jc w:val="both"/>
                  </w:pPr>
                  <w:r>
                    <w:rPr>
                      <w:rFonts w:ascii="仿宋_GB2312" w:hAnsi="仿宋_GB2312" w:cs="仿宋_GB2312" w:eastAsia="仿宋_GB2312"/>
                      <w:sz w:val="19"/>
                    </w:rPr>
                    <w:t>（3）资源采集与评估，资源类别：可以对高德地图上的研学基地进行查询标注或者点位标注，并且选择要素类别和图片上传。提交过后点击基地列表即可看到当前用户在地图上的标注的研学基地具体信息。基地列表里可以导出详情信息，也可进入详情对其添加过的基地图片进行二次标注。资源评估：资源采集可对所选基地进行完整的补充，包含人、事、物、地、理。以及资源评估的行前导学、行中研学、行后总结。</w:t>
                  </w:r>
                </w:p>
                <w:p>
                  <w:pPr>
                    <w:pStyle w:val="null3"/>
                    <w:jc w:val="both"/>
                  </w:pPr>
                  <w:r>
                    <w:rPr>
                      <w:rFonts w:ascii="仿宋_GB2312" w:hAnsi="仿宋_GB2312" w:cs="仿宋_GB2312" w:eastAsia="仿宋_GB2312"/>
                      <w:sz w:val="19"/>
                    </w:rPr>
                    <w:t>（4）课程开发与单元设计，单元任务设计：单元主题设计可在地图上进行选择课程的主题以及位置，在单元任务设计里可以对其进行目标以及活动时间和学科等的编写。单元活动任务进行创建新的任务,包含了主题、活动地点、任务名称、年龄段、任务内容等。课程单元开放：学习手册编辑先选择上一级的单元任务设计，然后可对手册进行封面封底以及课程介绍、课程活动清单、行程安排、学习评价、以及附件的上传。也可以切换上传模式直接上传pdf文件。指导案设计：在富文本编辑器里进行讲解词、任务步骤和教具说明书的编辑，也可图片和文字同时上传。上传完成后可进行指导案的导出。</w:t>
                  </w:r>
                </w:p>
                <w:p>
                  <w:pPr>
                    <w:pStyle w:val="null3"/>
                    <w:jc w:val="both"/>
                  </w:pPr>
                  <w:r>
                    <w:rPr>
                      <w:rFonts w:ascii="仿宋_GB2312" w:hAnsi="仿宋_GB2312" w:cs="仿宋_GB2312" w:eastAsia="仿宋_GB2312"/>
                      <w:sz w:val="19"/>
                    </w:rPr>
                    <w:t>（5）活动方案编制，研学活动方案编制：线路规划可以在表格中对其进行编写研学计划，计划内容包含研学基地的名称等。研学活动线路规划完后可以进行Excel的导出。供应商选择可对自己自定义的供应商进行勾选，自动弹出联系人和联系方式，供应商的内容包含类型、采购名目、单价数量、等一系列的说明。在上述线路规划和供应商选择完成后会进行一个自动的成本核算。</w:t>
                  </w:r>
                </w:p>
                <w:p>
                  <w:pPr>
                    <w:pStyle w:val="null3"/>
                    <w:jc w:val="both"/>
                  </w:pPr>
                  <w:r>
                    <w:rPr>
                      <w:rFonts w:ascii="仿宋_GB2312" w:hAnsi="仿宋_GB2312" w:cs="仿宋_GB2312" w:eastAsia="仿宋_GB2312"/>
                      <w:sz w:val="19"/>
                    </w:rPr>
                    <w:t>宣传方案可对课程海报上传（仅支持图片）和文件推文上传，短视频上传(仅支持视频)和设计文案的上传（仅支持pdf）。研学实施方案编制：线路与分工对行前说明、行中说明、行后说明进行编辑上传，可以自定义行数与列数。服务与安全是对线路与分工的内容进行一些补充</w:t>
                  </w:r>
                </w:p>
                <w:p>
                  <w:pPr>
                    <w:pStyle w:val="null3"/>
                    <w:jc w:val="both"/>
                  </w:pPr>
                  <w:r>
                    <w:rPr>
                      <w:rFonts w:ascii="仿宋_GB2312" w:hAnsi="仿宋_GB2312" w:cs="仿宋_GB2312" w:eastAsia="仿宋_GB2312"/>
                      <w:sz w:val="19"/>
                    </w:rPr>
                    <w:t>（6）活动准备与安全防控，行前准备：重难点应对策略客户对接、课程准备、物料准备、导师准备、接待准备、营销准备等一系列的场景描述和场景名称以及图片都是老师端对其进行添加开启或关闭展示，用户可对老师开启的场景描述进行策略的应对，回答后可进行查看的应对策略。沟通协作机制：可以对其添加沟通的人物，包含学校管理层、班主任、家长等等。</w:t>
                  </w:r>
                </w:p>
                <w:p>
                  <w:pPr>
                    <w:pStyle w:val="null3"/>
                    <w:jc w:val="both"/>
                  </w:pPr>
                  <w:r>
                    <w:rPr>
                      <w:rFonts w:ascii="仿宋_GB2312" w:hAnsi="仿宋_GB2312" w:cs="仿宋_GB2312" w:eastAsia="仿宋_GB2312"/>
                      <w:sz w:val="19"/>
                    </w:rPr>
                    <w:t>（7）实施保障与情景演练，职业素养与行为规范：可对仪容仪表、微表情管理、交互礼仪禁区、场景化礼仪细则和研学沟通话术的标准化话术和非语言沟通技巧和特殊场景沟通 的展示以及 情景研讨的学生交互场景 旅游设协作场景 和 家长沟通场景进行一系列的添加应对策略和查看应对策略。研学活动组织与实施：课程组织流程，在导学研学展学评学里的场景名称和场景描述里可自行添加应对策略和查看已填写的应对策略。研学指导对各种场景的描述和名称填写应对策略和查看已填写的应对策略。研学活动服务与保障：饮食住宿交通服务等方面展示各类的场景描述并且可以填写应对策略和查看已填写的应对策略。安全事故应急处理：对其研学过程中遇到的安全和危机处理问题进行添加应对策略和查看应对策略。</w:t>
                  </w:r>
                </w:p>
                <w:p>
                  <w:pPr>
                    <w:pStyle w:val="null3"/>
                    <w:jc w:val="both"/>
                  </w:pPr>
                  <w:r>
                    <w:rPr>
                      <w:rFonts w:ascii="仿宋_GB2312" w:hAnsi="仿宋_GB2312" w:cs="仿宋_GB2312" w:eastAsia="仿宋_GB2312"/>
                      <w:sz w:val="19"/>
                    </w:rPr>
                    <w:t>（8）评价反馈，学习效果评价反馈： 对研学后的过程进行一个评价，包含了研学受众效果评价和多元主体效果评价以及研学效果评价报告。研学活动评价反馈：可对实施质量评价和安全保障评价各个阶段进行评价，实施质量评价模块包含行前准备和行中执行和行后服务以及整体评价。安全保障评价模块包含场地的安全和课程安全和公共安全以及整体评价。</w:t>
                  </w:r>
                </w:p>
                <w:p>
                  <w:pPr>
                    <w:pStyle w:val="null3"/>
                    <w:jc w:val="both"/>
                  </w:pPr>
                  <w:r>
                    <w:rPr>
                      <w:rFonts w:ascii="仿宋_GB2312" w:hAnsi="仿宋_GB2312" w:cs="仿宋_GB2312" w:eastAsia="仿宋_GB2312"/>
                      <w:sz w:val="19"/>
                    </w:rPr>
                    <w:t>二、教师端核心功能</w:t>
                  </w:r>
                </w:p>
                <w:p>
                  <w:pPr>
                    <w:pStyle w:val="null3"/>
                    <w:jc w:val="both"/>
                  </w:pPr>
                  <w:r>
                    <w:rPr>
                      <w:rFonts w:ascii="仿宋_GB2312" w:hAnsi="仿宋_GB2312" w:cs="仿宋_GB2312" w:eastAsia="仿宋_GB2312"/>
                      <w:sz w:val="19"/>
                    </w:rPr>
                    <w:t>（1）数据展示：支持教师端可视化数据大屏展示功能，可实时查看班级数量、学生数量、任务数量、问答数量等核心教学数据；支持七天学生登录次数趋势、任务完成率、任务分数（最高分/最低分/平均分）等多维度数据统计，以折线图、柱状图、进度条等形式直观呈现，帮助教师快速掌握实训教学整体进度与学生学习状态，为教学决策提供数据支撑。</w:t>
                  </w:r>
                </w:p>
                <w:p>
                  <w:pPr>
                    <w:pStyle w:val="null3"/>
                    <w:jc w:val="both"/>
                  </w:pPr>
                  <w:r>
                    <w:rPr>
                      <w:rFonts w:ascii="仿宋_GB2312" w:hAnsi="仿宋_GB2312" w:cs="仿宋_GB2312" w:eastAsia="仿宋_GB2312"/>
                      <w:sz w:val="19"/>
                    </w:rPr>
                    <w:t>（2）班级管理：支持教师对实训班级进行全生命周期管理，可新增、编辑、删除班级信息，自定义班级名称，查看班级人数、添加时间等基础信息；支持查看班级学生列表，可对班级进行编辑、删除等操作，实现对实训班级的精细化管理，方便教师按班级维度分配实训任务、推送教学通知。</w:t>
                  </w:r>
                </w:p>
                <w:p>
                  <w:pPr>
                    <w:pStyle w:val="null3"/>
                    <w:jc w:val="both"/>
                  </w:pPr>
                  <w:r>
                    <w:rPr>
                      <w:rFonts w:ascii="仿宋_GB2312" w:hAnsi="仿宋_GB2312" w:cs="仿宋_GB2312" w:eastAsia="仿宋_GB2312"/>
                      <w:sz w:val="19"/>
                    </w:rPr>
                    <w:t>（3）通知管理：支持教师创建、编辑、删除、启用/关闭教学通知，可自定义通知标题、内容，选择通知推送范围（全体学生/指定班级），设置通知发布时间；支持查看通知浏览量、发布状态，可随时开启或关闭通知，方便教师向学生推送实训任务提醒、教学须知、安全通知等信息，保障教学信息及时触达。</w:t>
                  </w:r>
                </w:p>
                <w:p>
                  <w:pPr>
                    <w:pStyle w:val="null3"/>
                    <w:jc w:val="both"/>
                  </w:pPr>
                  <w:r>
                    <w:rPr>
                      <w:rFonts w:ascii="仿宋_GB2312" w:hAnsi="仿宋_GB2312" w:cs="仿宋_GB2312" w:eastAsia="仿宋_GB2312"/>
                      <w:sz w:val="19"/>
                    </w:rPr>
                    <w:t>（4）任务管理：支持教师对实训任务进行新增、编辑、删除、详情查看等管理操作，可自定义任务名称、任务描述、任务封面、适用班级、开始时间、结束时间等核心参数；支持任务状态管理（未开始/进行中/已结束），可对任务进行详情编辑与查看，实现实训任务从创建到发布的全流程管控，满足不同阶段、不同主题的研学实训教学需求。</w:t>
                  </w:r>
                </w:p>
                <w:p>
                  <w:pPr>
                    <w:pStyle w:val="null3"/>
                    <w:jc w:val="both"/>
                  </w:pPr>
                  <w:r>
                    <w:rPr>
                      <w:rFonts w:ascii="仿宋_GB2312" w:hAnsi="仿宋_GB2312" w:cs="仿宋_GB2312" w:eastAsia="仿宋_GB2312"/>
                      <w:sz w:val="19"/>
                    </w:rPr>
                    <w:t>（5）解答管理：支持教师对学生提出的实训问题进行集中管理，可查看学生提问分类（行前准备类、行中出行与安全类、研学现场体验类等）、提问时间，对学生问题进行在线回复与详情查看；支持查看问题回复状态，教师可通过编辑功能录入回复内容，实现对学生实训疑问的实时答疑与教学指导，保障学生实训过程顺利开展。</w:t>
                  </w:r>
                </w:p>
                <w:p>
                  <w:pPr>
                    <w:pStyle w:val="null3"/>
                    <w:jc w:val="both"/>
                  </w:pPr>
                  <w:r>
                    <w:rPr>
                      <w:rFonts w:ascii="仿宋_GB2312" w:hAnsi="仿宋_GB2312" w:cs="仿宋_GB2312" w:eastAsia="仿宋_GB2312"/>
                      <w:sz w:val="19"/>
                    </w:rPr>
                    <w:t>（6）批阅管理：支持教师对学生提交的实训任务进行在线批阅，分为“待批阅”与“已完成批阅”两大模块，可查看任务名称、参与任务人数、待批阅人数、任务封面等信息；支持进入批阅界面对学生提交的任务进行评分、撰写评语，完成批阅后可发布成绩；支持对已批阅任务的成绩进行导出，实现实训任务的线上批改、成绩管理与结果统计，满足实训教学考核评价需求。</w:t>
                  </w:r>
                </w:p>
                <w:p>
                  <w:pPr>
                    <w:pStyle w:val="null3"/>
                    <w:jc w:val="both"/>
                  </w:pPr>
                  <w:r>
                    <w:rPr>
                      <w:rFonts w:ascii="仿宋_GB2312" w:hAnsi="仿宋_GB2312" w:cs="仿宋_GB2312" w:eastAsia="仿宋_GB2312"/>
                      <w:sz w:val="19"/>
                    </w:rPr>
                    <w:t>（7）场景管理：场景管理模块包含行前准备重难点与安全隐患类型两大子模块，支持教师对实训场景题库进行全生命周期管理，可新增、编辑、删除场景案例，自定义场景类型、名称、描述、场景图片等信息，支持场景状态的开启/关闭控制。教师可按客户对接、课程准备、物料准备、营销准备、公共安全、场地安全、食宿行安全等类型对场景进行分类管理，为学生提供标准化的研学场景案例参考，助力学生掌握研学活动中各类重难点问题与安全隐患的应对策略，提升实践处理能力。</w:t>
                  </w:r>
                </w:p>
                <w:p>
                  <w:pPr>
                    <w:pStyle w:val="null3"/>
                    <w:jc w:val="both"/>
                  </w:pPr>
                  <w:r>
                    <w:rPr>
                      <w:rFonts w:ascii="仿宋_GB2312" w:hAnsi="仿宋_GB2312" w:cs="仿宋_GB2312" w:eastAsia="仿宋_GB2312"/>
                      <w:sz w:val="19"/>
                    </w:rPr>
                    <w:t>（8）资源管理：资源管理模块包含课程资源、研学政策与优秀作业三大子模块，支持教师对各类教学资源进行集中管理与下发，可新增、编辑、删除资源文件，支持上传PDF文件资源与外链资源，可查看已上传资源详情，设置资源发布状态。教师可按课程标准、研学政策文件、优秀研学作业等分类对资源进行归档管理，方便学生随时查看与学习，为研学实训教学提供丰富的教学素材与参考资料，提升教学资源利用效率与教学质量。</w:t>
                  </w:r>
                </w:p>
                <w:p>
                  <w:pPr>
                    <w:pStyle w:val="null3"/>
                    <w:jc w:val="both"/>
                  </w:pPr>
                  <w:r>
                    <w:rPr>
                      <w:rFonts w:ascii="仿宋_GB2312" w:hAnsi="仿宋_GB2312" w:cs="仿宋_GB2312" w:eastAsia="仿宋_GB2312"/>
                      <w:sz w:val="19"/>
                    </w:rPr>
                    <w:t>三、技术支持</w:t>
                  </w:r>
                </w:p>
                <w:p>
                  <w:pPr>
                    <w:pStyle w:val="null3"/>
                    <w:jc w:val="both"/>
                  </w:pPr>
                  <w:r>
                    <w:rPr>
                      <w:rFonts w:ascii="仿宋_GB2312" w:hAnsi="仿宋_GB2312" w:cs="仿宋_GB2312" w:eastAsia="仿宋_GB2312"/>
                      <w:sz w:val="19"/>
                    </w:rPr>
                    <w:t>（1）支持Web端与移动端访问</w:t>
                  </w:r>
                </w:p>
                <w:p>
                  <w:pPr>
                    <w:pStyle w:val="null3"/>
                    <w:jc w:val="both"/>
                  </w:pPr>
                  <w:r>
                    <w:rPr>
                      <w:rFonts w:ascii="仿宋_GB2312" w:hAnsi="仿宋_GB2312" w:cs="仿宋_GB2312" w:eastAsia="仿宋_GB2312"/>
                      <w:sz w:val="19"/>
                    </w:rPr>
                    <w:t>（2）支持多人协同编辑与任务分派</w:t>
                  </w:r>
                </w:p>
                <w:p>
                  <w:pPr>
                    <w:pStyle w:val="null3"/>
                    <w:jc w:val="both"/>
                  </w:pPr>
                  <w:r>
                    <w:rPr>
                      <w:rFonts w:ascii="仿宋_GB2312" w:hAnsi="仿宋_GB2312" w:cs="仿宋_GB2312" w:eastAsia="仿宋_GB2312"/>
                      <w:sz w:val="19"/>
                    </w:rPr>
                    <w:t>（3）数据可视化展示与智能分析</w:t>
                  </w:r>
                </w:p>
                <w:p>
                  <w:pPr>
                    <w:pStyle w:val="null3"/>
                    <w:jc w:val="both"/>
                  </w:pPr>
                  <w:r>
                    <w:rPr>
                      <w:rFonts w:ascii="仿宋_GB2312" w:hAnsi="仿宋_GB2312" w:cs="仿宋_GB2312" w:eastAsia="仿宋_GB2312"/>
                      <w:sz w:val="19"/>
                    </w:rPr>
                    <w:t>（4）支持PDF、Word、Excel等多种格式导出</w:t>
                  </w:r>
                </w:p>
                <w:p>
                  <w:pPr>
                    <w:pStyle w:val="null3"/>
                    <w:jc w:val="left"/>
                  </w:pPr>
                  <w:r>
                    <w:rPr>
                      <w:rFonts w:ascii="仿宋_GB2312" w:hAnsi="仿宋_GB2312" w:cs="仿宋_GB2312" w:eastAsia="仿宋_GB2312"/>
                      <w:sz w:val="19"/>
                    </w:rPr>
                    <w:t>配套研学旅行指导师理论考试平台1套</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智慧导游亭</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一、系统总体要求</w:t>
                  </w:r>
                  <w:r>
                    <w:br/>
                  </w:r>
                  <w:r>
                    <w:rPr>
                      <w:rFonts w:ascii="仿宋_GB2312" w:hAnsi="仿宋_GB2312" w:cs="仿宋_GB2312" w:eastAsia="仿宋_GB2312"/>
                      <w:sz w:val="19"/>
                    </w:rPr>
                    <w:t xml:space="preserve"> 1、要求该系统须解决传统教学过程中因实训场地紧张，现有实训设备的数量无法满足每位学生都能在规定时间内利用现有实训设备完成实训任务的问题，可将该设备安装至实训室、图书馆、寝室大厅以及学校内其他方便学生进行实训的地方，符合使用条件的用户可通过密码、门禁卡、小程序、机械钥匙等方式通过门禁验证，随时随地进入该智能学习空间进行学习和实训，通过分批建设，逐步构建校园共享实训设备体系。</w:t>
                  </w:r>
                  <w:r>
                    <w:br/>
                  </w:r>
                  <w:r>
                    <w:rPr>
                      <w:rFonts w:ascii="仿宋_GB2312" w:hAnsi="仿宋_GB2312" w:cs="仿宋_GB2312" w:eastAsia="仿宋_GB2312"/>
                      <w:sz w:val="19"/>
                    </w:rPr>
                    <w:t xml:space="preserve"> 2、要求导游微格实训设备由工艺精湛的中空钢化玻璃隔间为载体，构建一个小型学习空间，通过该设备配置的导游智能实训系统，可支持 1-2 名学生在该空间进行导游景区模拟讲解、以及普通话训练、朗读训练、英语口语训练等日常教学及实训任务的开展。</w:t>
                  </w:r>
                  <w:r>
                    <w:br/>
                  </w:r>
                  <w:r>
                    <w:rPr>
                      <w:rFonts w:ascii="仿宋_GB2312" w:hAnsi="仿宋_GB2312" w:cs="仿宋_GB2312" w:eastAsia="仿宋_GB2312"/>
                      <w:sz w:val="19"/>
                    </w:rPr>
                    <w:t xml:space="preserve"> 二、外观要求</w:t>
                  </w:r>
                  <w:r>
                    <w:br/>
                  </w:r>
                  <w:r>
                    <w:rPr>
                      <w:rFonts w:ascii="仿宋_GB2312" w:hAnsi="仿宋_GB2312" w:cs="仿宋_GB2312" w:eastAsia="仿宋_GB2312"/>
                      <w:sz w:val="19"/>
                    </w:rPr>
                    <w:t xml:space="preserve"> 1、设备主体采用现代化工业风风格，设备标准不超过尺寸:1.5*1.5*2.52m (长*宽*高)</w:t>
                  </w:r>
                  <w:r>
                    <w:br/>
                  </w:r>
                  <w:r>
                    <w:rPr>
                      <w:rFonts w:ascii="仿宋_GB2312" w:hAnsi="仿宋_GB2312" w:cs="仿宋_GB2312" w:eastAsia="仿宋_GB2312"/>
                      <w:sz w:val="19"/>
                    </w:rPr>
                    <w:t xml:space="preserve"> 2、主柱采用不超过 80*80*2 热镀锌管材焊接成型坚固耐用美观</w:t>
                  </w:r>
                  <w:r>
                    <w:br/>
                  </w:r>
                  <w:r>
                    <w:rPr>
                      <w:rFonts w:ascii="仿宋_GB2312" w:hAnsi="仿宋_GB2312" w:cs="仿宋_GB2312" w:eastAsia="仿宋_GB2312"/>
                      <w:sz w:val="19"/>
                    </w:rPr>
                    <w:t xml:space="preserve"> 3、玻璃采用隔音隔热 3.5+6+3.5 中空钢化玻璃，金板门框</w:t>
                  </w:r>
                  <w:r>
                    <w:br/>
                  </w:r>
                  <w:r>
                    <w:rPr>
                      <w:rFonts w:ascii="仿宋_GB2312" w:hAnsi="仿宋_GB2312" w:cs="仿宋_GB2312" w:eastAsia="仿宋_GB2312"/>
                      <w:sz w:val="19"/>
                    </w:rPr>
                    <w:t xml:space="preserve"> 4、亭身富锌底漆+汽车油漆防锈防雨。</w:t>
                  </w:r>
                  <w:r>
                    <w:br/>
                  </w:r>
                  <w:r>
                    <w:rPr>
                      <w:rFonts w:ascii="仿宋_GB2312" w:hAnsi="仿宋_GB2312" w:cs="仿宋_GB2312" w:eastAsia="仿宋_GB2312"/>
                      <w:sz w:val="19"/>
                    </w:rPr>
                    <w:t xml:space="preserve"> 5、顶部专用隔音隔热层，配分体式空调，全仓灯光柔和符合学校教学环境标准</w:t>
                  </w:r>
                  <w:r>
                    <w:br/>
                  </w:r>
                  <w:r>
                    <w:rPr>
                      <w:rFonts w:ascii="仿宋_GB2312" w:hAnsi="仿宋_GB2312" w:cs="仿宋_GB2312" w:eastAsia="仿宋_GB2312"/>
                      <w:sz w:val="19"/>
                    </w:rPr>
                    <w:t xml:space="preserve"> 6、配备门控门禁系统</w:t>
                  </w:r>
                  <w:r>
                    <w:br/>
                  </w:r>
                  <w:r>
                    <w:rPr>
                      <w:rFonts w:ascii="仿宋_GB2312" w:hAnsi="仿宋_GB2312" w:cs="仿宋_GB2312" w:eastAsia="仿宋_GB2312"/>
                      <w:sz w:val="19"/>
                    </w:rPr>
                    <w:t xml:space="preserve"> 三、整体硬件</w:t>
                  </w:r>
                  <w:r>
                    <w:br/>
                  </w:r>
                  <w:r>
                    <w:rPr>
                      <w:rFonts w:ascii="仿宋_GB2312" w:hAnsi="仿宋_GB2312" w:cs="仿宋_GB2312" w:eastAsia="仿宋_GB2312"/>
                      <w:sz w:val="19"/>
                    </w:rPr>
                    <w:t xml:space="preserve"> 1、整机组成:</w:t>
                  </w:r>
                  <w:r>
                    <w:br/>
                  </w:r>
                  <w:r>
                    <w:rPr>
                      <w:rFonts w:ascii="仿宋_GB2312" w:hAnsi="仿宋_GB2312" w:cs="仿宋_GB2312" w:eastAsia="仿宋_GB2312"/>
                      <w:sz w:val="19"/>
                    </w:rPr>
                    <w:t xml:space="preserve"> 1) 设备主体:亭子 1 个(含空调系统，灯光、灯箱，玻璃、金框体，地板，窗帘)</w:t>
                  </w:r>
                  <w:r>
                    <w:br/>
                  </w:r>
                  <w:r>
                    <w:rPr>
                      <w:rFonts w:ascii="仿宋_GB2312" w:hAnsi="仿宋_GB2312" w:cs="仿宋_GB2312" w:eastAsia="仿宋_GB2312"/>
                      <w:sz w:val="19"/>
                    </w:rPr>
                    <w:t xml:space="preserve"> 2) 功能主件: 触摸点系统(屏)不少于1 个;影像字幕显示屏不少于1 个; 主控机不少于1 个(含主板等) ;调音控制板(声音旋钮)不少于1个 ; 声音系统不少于 1套</w:t>
                  </w:r>
                  <w:r>
                    <w:br/>
                  </w:r>
                  <w:r>
                    <w:rPr>
                      <w:rFonts w:ascii="仿宋_GB2312" w:hAnsi="仿宋_GB2312" w:cs="仿宋_GB2312" w:eastAsia="仿宋_GB2312"/>
                      <w:sz w:val="19"/>
                    </w:rPr>
                    <w:t xml:space="preserve"> 3) 设备附件:专业麦克风不小于 2 个:专业监听耳机不小于 2 个:空调遥控器不小于 1个; 复古座椅不小于 2 个；专用摄像头1个</w:t>
                  </w:r>
                  <w:r>
                    <w:br/>
                  </w:r>
                  <w:r>
                    <w:rPr>
                      <w:rFonts w:ascii="仿宋_GB2312" w:hAnsi="仿宋_GB2312" w:cs="仿宋_GB2312" w:eastAsia="仿宋_GB2312"/>
                      <w:sz w:val="19"/>
                    </w:rPr>
                    <w:t xml:space="preserve"> 4) 额定电源:不小于 AC220V 50HZ</w:t>
                  </w:r>
                  <w:r>
                    <w:br/>
                  </w:r>
                  <w:r>
                    <w:rPr>
                      <w:rFonts w:ascii="仿宋_GB2312" w:hAnsi="仿宋_GB2312" w:cs="仿宋_GB2312" w:eastAsia="仿宋_GB2312"/>
                      <w:sz w:val="19"/>
                    </w:rPr>
                    <w:t xml:space="preserve"> 5) 额定功率:不小于整机为 1200W，包含空调和通风系统</w:t>
                  </w:r>
                  <w:r>
                    <w:br/>
                  </w:r>
                  <w:r>
                    <w:rPr>
                      <w:rFonts w:ascii="仿宋_GB2312" w:hAnsi="仿宋_GB2312" w:cs="仿宋_GB2312" w:eastAsia="仿宋_GB2312"/>
                      <w:sz w:val="19"/>
                    </w:rPr>
                    <w:t xml:space="preserve"> 6) 显示部分: 主显示器不小于32寸，分辨率 1920*1080; 触摸屏21.5寸，分辨率1920*1080</w:t>
                  </w:r>
                  <w:r>
                    <w:br/>
                  </w:r>
                  <w:r>
                    <w:rPr>
                      <w:rFonts w:ascii="仿宋_GB2312" w:hAnsi="仿宋_GB2312" w:cs="仿宋_GB2312" w:eastAsia="仿宋_GB2312"/>
                      <w:sz w:val="19"/>
                    </w:rPr>
                    <w:t xml:space="preserve"> 7) 网络: 支持无线wifi网络和有线网络</w:t>
                  </w:r>
                  <w:r>
                    <w:br/>
                  </w:r>
                  <w:r>
                    <w:rPr>
                      <w:rFonts w:ascii="仿宋_GB2312" w:hAnsi="仿宋_GB2312" w:cs="仿宋_GB2312" w:eastAsia="仿宋_GB2312"/>
                      <w:sz w:val="19"/>
                    </w:rPr>
                    <w:t xml:space="preserve"> 8) 主板:专用主板</w:t>
                  </w:r>
                  <w:r>
                    <w:br/>
                  </w:r>
                  <w:r>
                    <w:rPr>
                      <w:rFonts w:ascii="仿宋_GB2312" w:hAnsi="仿宋_GB2312" w:cs="仿宋_GB2312" w:eastAsia="仿宋_GB2312"/>
                      <w:sz w:val="19"/>
                    </w:rPr>
                    <w:t xml:space="preserve"> 9) 主机: 专用主机内置 480G固态硬盘，16G DDR4 内存，4G品牌独显</w:t>
                  </w:r>
                  <w:r>
                    <w:br/>
                  </w:r>
                  <w:r>
                    <w:rPr>
                      <w:rFonts w:ascii="仿宋_GB2312" w:hAnsi="仿宋_GB2312" w:cs="仿宋_GB2312" w:eastAsia="仿宋_GB2312"/>
                      <w:sz w:val="19"/>
                    </w:rPr>
                    <w:t xml:space="preserve"> 10) 系统: windows 系统</w:t>
                  </w:r>
                  <w:r>
                    <w:br/>
                  </w:r>
                  <w:r>
                    <w:rPr>
                      <w:rFonts w:ascii="仿宋_GB2312" w:hAnsi="仿宋_GB2312" w:cs="仿宋_GB2312" w:eastAsia="仿宋_GB2312"/>
                      <w:sz w:val="19"/>
                    </w:rPr>
                    <w:t xml:space="preserve"> 11) 话筒:专业话筒，话筒输出音质保真，人声完美还原，耳机2套</w:t>
                  </w:r>
                  <w:r>
                    <w:br/>
                  </w:r>
                  <w:r>
                    <w:rPr>
                      <w:rFonts w:ascii="仿宋_GB2312" w:hAnsi="仿宋_GB2312" w:cs="仿宋_GB2312" w:eastAsia="仿宋_GB2312"/>
                      <w:sz w:val="19"/>
                    </w:rPr>
                    <w:t xml:space="preserve"> 12) 效果器:高端定制版，没有电流声，声音还原度好，有多种人声效果可选。  </w:t>
                  </w:r>
                  <w:r>
                    <w:br/>
                  </w:r>
                  <w:r>
                    <w:rPr>
                      <w:rFonts w:ascii="仿宋_GB2312" w:hAnsi="仿宋_GB2312" w:cs="仿宋_GB2312" w:eastAsia="仿宋_GB2312"/>
                      <w:sz w:val="19"/>
                    </w:rPr>
                    <w:t xml:space="preserve"> 13) 为保证整个导游亭的稳定性和使用安全，要求整机重量&gt;400KG，高强度钢化玻璃</w:t>
                  </w:r>
                  <w:r>
                    <w:br/>
                  </w:r>
                  <w:r>
                    <w:rPr>
                      <w:rFonts w:ascii="仿宋_GB2312" w:hAnsi="仿宋_GB2312" w:cs="仿宋_GB2312" w:eastAsia="仿宋_GB2312"/>
                      <w:sz w:val="19"/>
                    </w:rPr>
                    <w:t xml:space="preserve"> 14) 座椅:实木座面，环保水性漆面，防水防腐。铁艺框架底板用铁方通作基础，防滑木地板。使用人数:2人。</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MR智能导游综合实训平台</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系统将学生以游客为第一视角，结合系统自主漫游功能，通过鼠标可以方便灵活的实现景区画面放大、缩小、左转、右转、仰视、俯视等一系列视点操作，将景点或景区的概貌真实展现出来,使学生能身临其境,从而更方便开展教学;并且可以根据教学需要,对景区的布局、成熟导游线路游览、自由观赏、重要知识点等进行设置；</w:t>
                  </w:r>
                  <w:r>
                    <w:br/>
                  </w:r>
                  <w:r>
                    <w:rPr>
                      <w:rFonts w:ascii="仿宋_GB2312" w:hAnsi="仿宋_GB2312" w:cs="仿宋_GB2312" w:eastAsia="仿宋_GB2312"/>
                      <w:sz w:val="19"/>
                    </w:rPr>
                    <w:t xml:space="preserve"> 1.系统包括导游教学与竞赛过程中的模拟导游自主练习模式、竞赛模式、学习资源、优秀作品、实训任务、我的景点、我的作品、城市名片、导游英语、才艺录制、我的资料、我的考试、AI助手等模块。</w:t>
                  </w:r>
                </w:p>
                <w:p>
                  <w:pPr>
                    <w:pStyle w:val="null3"/>
                    <w:jc w:val="left"/>
                  </w:pPr>
                  <w:r>
                    <w:rPr>
                      <w:rFonts w:ascii="仿宋_GB2312" w:hAnsi="仿宋_GB2312" w:cs="仿宋_GB2312" w:eastAsia="仿宋_GB2312"/>
                      <w:sz w:val="19"/>
                    </w:rPr>
                    <w:t>2.系统支持自主实训与教师布置任务两种模式，两种模式均基于学校所在地现场面试景区，及其他著名景区教学资源，及国内外具有代表性景区的VR教学资源。</w:t>
                  </w:r>
                  <w:r>
                    <w:br/>
                  </w:r>
                  <w:r>
                    <w:rPr>
                      <w:rFonts w:ascii="仿宋_GB2312" w:hAnsi="仿宋_GB2312" w:cs="仿宋_GB2312" w:eastAsia="仿宋_GB2312"/>
                      <w:sz w:val="19"/>
                    </w:rPr>
                    <w:t xml:space="preserve"> 3.景区720度实景必须是一个以景区为单位的完整清晰的漫游全景文件，学生可通过热点或者游览线路指示箭头直接进入下一个景点目标场景。</w:t>
                  </w:r>
                  <w:r>
                    <w:br/>
                  </w:r>
                  <w:r>
                    <w:rPr>
                      <w:rFonts w:ascii="仿宋_GB2312" w:hAnsi="仿宋_GB2312" w:cs="仿宋_GB2312" w:eastAsia="仿宋_GB2312"/>
                      <w:sz w:val="19"/>
                    </w:rPr>
                    <w:t xml:space="preserve"> 4.练习模式下，分为省份区域导航和主题分类导航两种模式，学生可通过滑动导航进入对应的VR教学资源，选择景区进行全面的学习与了解。学生可关闭系统标准导游词讲解语音或背景音乐进行模拟讲解，支持切换到VR模式进行浏览，支持视角切换功能，包括正常模式、小行星模式、水晶球模式、鱼眼模式。可对现场导游词进行创作，同时可对自己的模拟导游讲解过程进行录音录像，最终生成完整的讲解视频。</w:t>
                  </w:r>
                  <w:r>
                    <w:br/>
                  </w:r>
                  <w:r>
                    <w:rPr>
                      <w:rFonts w:ascii="仿宋_GB2312" w:hAnsi="仿宋_GB2312" w:cs="仿宋_GB2312" w:eastAsia="仿宋_GB2312"/>
                      <w:sz w:val="19"/>
                    </w:rPr>
                    <w:t xml:space="preserve"> 5.练习模式下，支持推荐景点进行展示，可一键快速的切换推荐景点进行景区的场景展示、导游词创作、录像保存。</w:t>
                  </w:r>
                  <w:r>
                    <w:br/>
                  </w:r>
                  <w:r>
                    <w:rPr>
                      <w:rFonts w:ascii="仿宋_GB2312" w:hAnsi="仿宋_GB2312" w:cs="仿宋_GB2312" w:eastAsia="仿宋_GB2312"/>
                      <w:sz w:val="19"/>
                    </w:rPr>
                    <w:t xml:space="preserve"> 6.学生可针对景区概况及讲解点，进行导游词录入，录入之后在模拟讲解时显示在三分屏上。协助学生进行模拟导游讲解。</w:t>
                  </w:r>
                  <w:r>
                    <w:br/>
                  </w:r>
                  <w:r>
                    <w:rPr>
                      <w:rFonts w:ascii="仿宋_GB2312" w:hAnsi="仿宋_GB2312" w:cs="仿宋_GB2312" w:eastAsia="仿宋_GB2312"/>
                      <w:sz w:val="19"/>
                    </w:rPr>
                    <w:t xml:space="preserve"> 7.学生模拟导游进行录制时，可将作品通过保存上传、删除、存草稿三种状态进行存储。对于不满意的作品可进行反复训练和修正，直至练习满意后，提交老师。</w:t>
                  </w:r>
                  <w:r>
                    <w:br/>
                  </w:r>
                  <w:r>
                    <w:rPr>
                      <w:rFonts w:ascii="仿宋_GB2312" w:hAnsi="仿宋_GB2312" w:cs="仿宋_GB2312" w:eastAsia="仿宋_GB2312"/>
                      <w:sz w:val="19"/>
                    </w:rPr>
                    <w:t xml:space="preserve"> 8.学生可将存草稿的作品进行播放、删除及上传操作。播放模式下支持随时暂停操作，支持将保存本地的视频进行上传，同时选择作品类型，选择景点（包含搜索景点名称）进行选择，同时输入视频标题及视频描述进行提交上传。</w:t>
                  </w:r>
                  <w:r>
                    <w:br/>
                  </w:r>
                  <w:r>
                    <w:rPr>
                      <w:rFonts w:ascii="仿宋_GB2312" w:hAnsi="仿宋_GB2312" w:cs="仿宋_GB2312" w:eastAsia="仿宋_GB2312"/>
                      <w:sz w:val="19"/>
                    </w:rPr>
                    <w:t xml:space="preserve"> 9.竞赛考证分为竞赛模式和考证模式两种，竞赛模式以全国职业院校技能大赛导游服务赛项为背景，分为自选景点讲解，导游词创作及英语口语测试三个模块，考证模式以导游证考试为背景，分为抽取景点及导游知识问答两个模块。</w:t>
                  </w:r>
                  <w:r>
                    <w:br/>
                  </w:r>
                  <w:r>
                    <w:rPr>
                      <w:rFonts w:ascii="仿宋_GB2312" w:hAnsi="仿宋_GB2312" w:cs="仿宋_GB2312" w:eastAsia="仿宋_GB2312"/>
                      <w:sz w:val="19"/>
                    </w:rPr>
                    <w:t xml:space="preserve"> 10.自选景点讲解模块，学生可从本地读取ppt文件上传到系统进行播放，学生可根据ppt内容进行讲解录制，录制完成后可将作品通过保存上传、删除、存草稿三种状态进行存储。</w:t>
                  </w:r>
                  <w:r>
                    <w:br/>
                  </w:r>
                  <w:r>
                    <w:rPr>
                      <w:rFonts w:ascii="仿宋_GB2312" w:hAnsi="仿宋_GB2312" w:cs="仿宋_GB2312" w:eastAsia="仿宋_GB2312"/>
                      <w:sz w:val="19"/>
                    </w:rPr>
                    <w:t xml:space="preserve"> 11.导游词创作分为随机模式及自选模式，随机模式内含50种旅游文化元素与5个团型进行组合抽取。同时系统具备抽取记录，可针对以往抽取记录进行重组导游词。学生针对抽取到的文化元素和团型进行现场创作导游词，根据创作的导游词进行现场展示讲解，学生创作导游词后，可查看个人创作记录，并可根据导游词进行讲解，同时副屏显示导游词。学生也可将讲解过程进行录制，录制完成后可将作品通过保存上传、删除、存草稿三种状态进行存储。自选模式支持自有选择文化元素及团型进行现场创作，进行编写导游词，进行现场展示及录制保存。</w:t>
                  </w:r>
                  <w:r>
                    <w:br/>
                  </w:r>
                  <w:r>
                    <w:rPr>
                      <w:rFonts w:ascii="仿宋_GB2312" w:hAnsi="仿宋_GB2312" w:cs="仿宋_GB2312" w:eastAsia="仿宋_GB2312"/>
                      <w:sz w:val="19"/>
                    </w:rPr>
                    <w:t xml:space="preserve"> 12.系统具备旅游英语口语测试实训功能，依据全国导游技能大赛旅游英语口语测试题库，提供旅游英语口语实训场景，实训方式为人机跟读和情景对话。</w:t>
                  </w:r>
                  <w:r>
                    <w:br/>
                  </w:r>
                  <w:r>
                    <w:rPr>
                      <w:rFonts w:ascii="仿宋_GB2312" w:hAnsi="仿宋_GB2312" w:cs="仿宋_GB2312" w:eastAsia="仿宋_GB2312"/>
                      <w:sz w:val="19"/>
                    </w:rPr>
                    <w:t xml:space="preserve"> 13.考证模式分为抽取景点及导游知识问答两个模块，支持抽取景点进行现场讲解，根据景点题库进行赛选，在当前目录下随机抽取的景点进行播放讲解，考试讲解的内容支持分屏展示并支持全过程录音录像，最终生成完整的讲解视频。录制完成后可将作品通过保存上传、删除、存草稿三种状态进行存储。支持根据科目一、科目二、科目三、科目四进行理论测试，对理论支持进行现场作答，支持调用计算器，支持答题卡快速选择，答题完毕后进行试卷提交。</w:t>
                  </w:r>
                  <w:r>
                    <w:br/>
                  </w:r>
                  <w:r>
                    <w:rPr>
                      <w:rFonts w:ascii="仿宋_GB2312" w:hAnsi="仿宋_GB2312" w:cs="仿宋_GB2312" w:eastAsia="仿宋_GB2312"/>
                      <w:sz w:val="19"/>
                    </w:rPr>
                    <w:t xml:space="preserve"> 14.个人设置模块分为我的资料、我的考试、消息中心、我的上传及退出，支持对个人密码进行修改操作，支持查看个人信息。我的考试模块展示每次考试的时间及时长和最终得分，支持查看答题的详细试卷，展示自选答案、参考答案及答案解析，难题答案解析需标注本题对应课本的详细页数及重要度。我的上传模块展示上传至教师端的作品。</w:t>
                  </w:r>
                  <w:r>
                    <w:br/>
                  </w:r>
                  <w:r>
                    <w:rPr>
                      <w:rFonts w:ascii="仿宋_GB2312" w:hAnsi="仿宋_GB2312" w:cs="仿宋_GB2312" w:eastAsia="仿宋_GB2312"/>
                      <w:sz w:val="19"/>
                    </w:rPr>
                    <w:t xml:space="preserve"> 15.学习资源主要针对系统自带和教师上传的教学资源给到学生进行学习，导游资格考试备考资料、导游资格考试大纲解读、政策与法律法规、导游业务、全国导游基础知识、地方导游基础知识；满足各个大类的视频学习资源。</w:t>
                  </w:r>
                  <w:r>
                    <w:br/>
                  </w:r>
                  <w:r>
                    <w:rPr>
                      <w:rFonts w:ascii="仿宋_GB2312" w:hAnsi="仿宋_GB2312" w:cs="仿宋_GB2312" w:eastAsia="仿宋_GB2312"/>
                      <w:sz w:val="19"/>
                    </w:rPr>
                    <w:t xml:space="preserve"> 16.备考资源包含备考的提前准备讲解视频（总时长不低于1小时）；备考的层级讲解，包括从流畅到微笑到生动的三个级别解说视频（总时长不低于50分钟）；导游词撰写前期讲解视频（总时长不低于100分钟）；导游词撰写培训讲解（总时长不低于60分钟）；导游面试速成讲解视频（总时长不低于100分钟）；导游证面试流程讲解视频（总时长不低于90分钟）；导游考试复习方法，不低于3轮复习的讲解视频（总时长不低于60分钟）；以上所有讲解视频需为同一人录制讲解，不可随意进行拼接，视频需包含详细的讲解，讲解视频包含电子白板，重点需突出标识。</w:t>
                  </w:r>
                  <w:r>
                    <w:br/>
                  </w:r>
                  <w:r>
                    <w:rPr>
                      <w:rFonts w:ascii="仿宋_GB2312" w:hAnsi="仿宋_GB2312" w:cs="仿宋_GB2312" w:eastAsia="仿宋_GB2312"/>
                      <w:sz w:val="19"/>
                    </w:rPr>
                    <w:t xml:space="preserve"> 17.需要包含科目一讲解视频（科目一讲解视频为政策法规18章讲解视频，讲解的视频需根据章节分为小节进行讲解，总讲解视频不低于60个）、科目二讲解视频（科目二讲解视频为导游业务18章讲解视频，讲解的视频需根据章节分为小节进行讲解，总讲解视频不低于35个）、科目三讲解视频（科目三讲解视频为全国导游基础11章讲解视频，讲解的视频需根据章节分为小节进行讲解，总讲解视频不低于30个）、科目四讲解视频（科目四讲解视频为地方导游基础8章讲解视频，讲解的视频需根据章节分为小节进行讲解，总讲解视频不低于30个）。每个科目每章需包含对应的讲解课件。</w:t>
                  </w:r>
                  <w:r>
                    <w:br/>
                  </w:r>
                  <w:r>
                    <w:rPr>
                      <w:rFonts w:ascii="仿宋_GB2312" w:hAnsi="仿宋_GB2312" w:cs="仿宋_GB2312" w:eastAsia="仿宋_GB2312"/>
                      <w:sz w:val="19"/>
                    </w:rPr>
                    <w:t xml:space="preserve"> 18.优秀作品模块由教师选择后显示在优秀作品模块，针对作品的类型进行了细分类：景点作品、导游词创作、自选作品三类。学生可以观看优秀的作品，同时可以发表看法。</w:t>
                  </w:r>
                </w:p>
                <w:p>
                  <w:pPr>
                    <w:pStyle w:val="null3"/>
                    <w:jc w:val="left"/>
                  </w:pPr>
                  <w:r>
                    <w:rPr>
                      <w:rFonts w:ascii="仿宋_GB2312" w:hAnsi="仿宋_GB2312" w:cs="仿宋_GB2312" w:eastAsia="仿宋_GB2312"/>
                      <w:sz w:val="19"/>
                    </w:rPr>
                    <w:t>19.实训任务模块教师通过教师端发布实训任务内容包括（景点、相关附件、文字介绍）推送至学生端，学生在实训任务模块下根据要求完成相关作品的上传，等待教师的批阅，教师收到学生的回答后，可进行批阅，等级评价，评论回复。</w:t>
                  </w:r>
                  <w:r>
                    <w:br/>
                  </w:r>
                  <w:r>
                    <w:rPr>
                      <w:rFonts w:ascii="仿宋_GB2312" w:hAnsi="仿宋_GB2312" w:cs="仿宋_GB2312" w:eastAsia="仿宋_GB2312"/>
                      <w:sz w:val="19"/>
                    </w:rPr>
                    <w:t xml:space="preserve"> 20.我的景点模块主要针对学生在景点练习时对需要经常练习的景点进行收藏，方便下次登录系统时，第一时间快速找到相应景点并进行现场景点展示、导游词创作及录屏保存功能。</w:t>
                  </w:r>
                  <w:r>
                    <w:br/>
                  </w:r>
                  <w:r>
                    <w:rPr>
                      <w:rFonts w:ascii="仿宋_GB2312" w:hAnsi="仿宋_GB2312" w:cs="仿宋_GB2312" w:eastAsia="仿宋_GB2312"/>
                      <w:sz w:val="19"/>
                    </w:rPr>
                    <w:t xml:space="preserve"> 21.我的作品模块展示学生创作的景点作品、导游词创作作品、现场模拟作品，草稿箱保存暂未发布的作品，删除的作品保存在回收站，短期内可以恢复。</w:t>
                  </w:r>
                  <w:r>
                    <w:br/>
                  </w:r>
                  <w:r>
                    <w:rPr>
                      <w:rFonts w:ascii="仿宋_GB2312" w:hAnsi="仿宋_GB2312" w:cs="仿宋_GB2312" w:eastAsia="仿宋_GB2312"/>
                      <w:sz w:val="19"/>
                    </w:rPr>
                    <w:t xml:space="preserve"> 22.系统用户按用户权限分为教师和学生，各用户可在同一局域网且同一网关下实现远程访问；支持对系统参数进行设定，支持对管理部门进行设定，支持新增及管理教师账户，支持新增及管理学生账户。</w:t>
                  </w:r>
                  <w:r>
                    <w:br/>
                  </w:r>
                  <w:r>
                    <w:rPr>
                      <w:rFonts w:ascii="仿宋_GB2312" w:hAnsi="仿宋_GB2312" w:cs="仿宋_GB2312" w:eastAsia="仿宋_GB2312"/>
                      <w:sz w:val="19"/>
                    </w:rPr>
                    <w:t xml:space="preserve"> 23.作品管理模块分为景点作品、导游词创作、自选景点，教师可查看所带班级学生相关作品，进行打分，设置优秀作品。教师可查看学生上传的作品，对学生作品进行评分、设置成优秀作品并填写相关评语。</w:t>
                  </w:r>
                  <w:r>
                    <w:br/>
                  </w:r>
                  <w:r>
                    <w:rPr>
                      <w:rFonts w:ascii="仿宋_GB2312" w:hAnsi="仿宋_GB2312" w:cs="仿宋_GB2312" w:eastAsia="仿宋_GB2312"/>
                      <w:sz w:val="19"/>
                    </w:rPr>
                    <w:t xml:space="preserve"> 24.实训管理模块分为实训安排及实训统计，支持选择景点，时间，部门进行新增实训任务。实训统计可对教师发布的实训任务进行统计展示，并查阅学生完成情况、查看作品视频、实训得分，批改状态，批改作品。</w:t>
                  </w:r>
                  <w:r>
                    <w:br/>
                  </w:r>
                  <w:r>
                    <w:rPr>
                      <w:rFonts w:ascii="仿宋_GB2312" w:hAnsi="仿宋_GB2312" w:cs="仿宋_GB2312" w:eastAsia="仿宋_GB2312"/>
                      <w:sz w:val="19"/>
                    </w:rPr>
                    <w:t xml:space="preserve"> 25.可对学生端的学习资源进行管理，对资源进行分类，上传学习资源，完善资源的授课章节及授课内容。</w:t>
                  </w:r>
                  <w:r>
                    <w:br/>
                  </w:r>
                  <w:r>
                    <w:rPr>
                      <w:rFonts w:ascii="仿宋_GB2312" w:hAnsi="仿宋_GB2312" w:cs="仿宋_GB2312" w:eastAsia="仿宋_GB2312"/>
                      <w:sz w:val="19"/>
                    </w:rPr>
                    <w:t xml:space="preserve"> 26.可对导游题库进行管理，支持新增题库目录，支持批量导入试题，支持根据题库类别、题型、编号及关键词进行赛选题目进行查看，需包含题目、选项、答案及解析，解析需精准体现本题所在书本页数。可查看所有学生的考试情况，并自动统计考试得分，支持查看学生考试作答详细情况。</w:t>
                  </w:r>
                  <w:r>
                    <w:br/>
                  </w:r>
                  <w:r>
                    <w:rPr>
                      <w:rFonts w:ascii="仿宋_GB2312" w:hAnsi="仿宋_GB2312" w:cs="仿宋_GB2312" w:eastAsia="仿宋_GB2312"/>
                      <w:sz w:val="19"/>
                    </w:rPr>
                    <w:t xml:space="preserve"> 27.英语口语管理分为英语题库、英语口语、英语问答三个模块，可对题库进行新增，支持新增口语及问答，问答设置上传答案关键词，学生进行问答训练时，系统自动给出评分。</w:t>
                  </w:r>
                  <w:r>
                    <w:br/>
                  </w:r>
                  <w:r>
                    <w:rPr>
                      <w:rFonts w:ascii="仿宋_GB2312" w:hAnsi="仿宋_GB2312" w:cs="仿宋_GB2312" w:eastAsia="仿宋_GB2312"/>
                      <w:sz w:val="19"/>
                    </w:rPr>
                    <w:t xml:space="preserve"> 28.旅游政策法律法规包含：（1）全面推进法治中国建设；（2）宪法基本知识；（3）夺取新时代中国特色社会主义伟大胜利；（4）“十四五”规划和2035年远景目标纲要；（5）旅游方针政策；（6）文化和旅游部关于新型冠状病毒肺炎疫情防控“熔断”机制和措施指南；（7）维护国家安全法律制度；（8）民法的基本知识；（9）旅游法的基本知识；（10）合同与旅游服务合同法律制度；（11）侵权责任法律制度；（12）旅行社法律制度；（13）导游管理法律制度；（14）旅游安全管理与责任保险法律制度（15）出入境与交通法律制度；（16）食品安全、住宿与娱乐法律制度；（17）旅游资源保护法律制度；（18）解决旅游纠纷的法律制度相关讲解课件资源。</w:t>
                  </w:r>
                  <w:r>
                    <w:br/>
                  </w:r>
                  <w:r>
                    <w:rPr>
                      <w:rFonts w:ascii="仿宋_GB2312" w:hAnsi="仿宋_GB2312" w:cs="仿宋_GB2312" w:eastAsia="仿宋_GB2312"/>
                      <w:sz w:val="19"/>
                    </w:rPr>
                    <w:t xml:space="preserve"> 29.导游业务包含：（1）导游服务；（2）导游；（3）导游礼仪；（4）地方导游服务程序与服务质量；（5）全程导游服务程序与服务质量；（6）景区导游服务程序与服务质量；（7）散客导游服务程序与服务质量；（8）导游领队引导文明旅游规范；（9）导游的语言技能；（10）导游的带团技能；（11）导游的讲解技能；（12）游客个别要求的处理；（13）问题与事故的处理；（14）自然灾害避险与新型冠状病毒肺炎疫情常态化；（15）旅行社饭店景区知识；（16）入出境知识；（17）交通知识；（18）其他相关知识相关讲解课件资源。</w:t>
                  </w:r>
                  <w:r>
                    <w:br/>
                  </w:r>
                  <w:r>
                    <w:rPr>
                      <w:rFonts w:ascii="仿宋_GB2312" w:hAnsi="仿宋_GB2312" w:cs="仿宋_GB2312" w:eastAsia="仿宋_GB2312"/>
                      <w:sz w:val="19"/>
                    </w:rPr>
                    <w:t xml:space="preserve"> 30.全国导游基础知识包含：（1）中国共产党成立百年来领导中国人民和中国革命取得的伟大成就；（2）中国旅游业发展概况；（3）中国历史文化知识；（4）中国文学知识；（5）中国建筑艺术；（6）中国园林艺术；（7）中国饮食文化；（8）中国传统工艺美术；（9）中国民族知识与宗教知识；（10）中国旅游景观；（11）中国主要客源国概况相关讲解课件资源。</w:t>
                  </w:r>
                  <w:r>
                    <w:br/>
                  </w:r>
                  <w:r>
                    <w:rPr>
                      <w:rFonts w:ascii="仿宋_GB2312" w:hAnsi="仿宋_GB2312" w:cs="仿宋_GB2312" w:eastAsia="仿宋_GB2312"/>
                      <w:sz w:val="19"/>
                    </w:rPr>
                    <w:t xml:space="preserve"> 31.地方导游基础知识包含：（1）华北地区各省市自治区导游基础知识；（2）东北地区各省导游基础知识；（3）华东地区各省市导游基础知识；（4）华中地区各省导游基础知识；（5）华南地区各省自治区导游基础知识；（6）西南地区各省市自治区导游基础知识；（7）西北地区各省自治区导游基础知识；（8）港澳台地区导游基础知识相关讲解课件资源。</w:t>
                  </w:r>
                  <w:r>
                    <w:br/>
                  </w:r>
                  <w:r>
                    <w:rPr>
                      <w:rFonts w:ascii="仿宋_GB2312" w:hAnsi="仿宋_GB2312" w:cs="仿宋_GB2312" w:eastAsia="仿宋_GB2312"/>
                      <w:sz w:val="19"/>
                    </w:rPr>
                    <w:t xml:space="preserve"> 数据模块：</w:t>
                  </w:r>
                  <w:r>
                    <w:br/>
                  </w:r>
                  <w:r>
                    <w:rPr>
                      <w:rFonts w:ascii="仿宋_GB2312" w:hAnsi="仿宋_GB2312" w:cs="仿宋_GB2312" w:eastAsia="仿宋_GB2312"/>
                      <w:sz w:val="19"/>
                    </w:rPr>
                    <w:t xml:space="preserve"> 1、数据板块支持自定义对比分析，支持对全国各个省份具体的景区或者酒店进行对比分析；可根据省份、景区级别选择对应的景区添加到分析；可选择对应的时间段筛选数据；自动分析各景区近12个月指数对比趋势图、口碑结构、OTA分布、客流结构对比等信息；可根据省份及星级筛选对应的酒店添加到分析列表；自动分析各酒店近12个月指数对比趋势图、口碑结构、OTA分布、客流结构对比等信息。客户数据板块支持触点管理的投放渠道的设定，渠道活动支持绑定落地页及自动化的营销规则，并统计当前渠道的浏览量及客户浏览时长。</w:t>
                  </w:r>
                  <w:r>
                    <w:br/>
                  </w:r>
                  <w:r>
                    <w:rPr>
                      <w:rFonts w:ascii="仿宋_GB2312" w:hAnsi="仿宋_GB2312" w:cs="仿宋_GB2312" w:eastAsia="仿宋_GB2312"/>
                      <w:sz w:val="19"/>
                    </w:rPr>
                    <w:t xml:space="preserve"> 2、数据板块拥有数据的综合看板分析，包含景区和酒店（自由切换）口碑指数进行分析；自动生成月份的酒店/景区口碑指数，自动计算本省在全国的排名；系统自动统计展示的平均指数、最高指数及最低指数；展示本省景区和酒店当前的口碑总数、好评总数、好评率、差评总数及差评率，并根据算法自动计划上月环比数据。客户数据板块支持客户的画像标签及动态标签的展示；支持客户全国分布的统计，支持搜索引擎的推广管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陕西景点+全国景点</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陕西省景点：</w:t>
                  </w:r>
                </w:p>
                <w:p>
                  <w:pPr>
                    <w:pStyle w:val="null3"/>
                    <w:jc w:val="both"/>
                  </w:pPr>
                  <w:r>
                    <w:rPr>
                      <w:rFonts w:ascii="仿宋_GB2312" w:hAnsi="仿宋_GB2312" w:cs="仿宋_GB2312" w:eastAsia="仿宋_GB2312"/>
                      <w:sz w:val="19"/>
                    </w:rPr>
                    <w:t xml:space="preserve">1、大慈恩寺大雁塔2、大明宫遗址公园3、大唐芙蓉园4、华清宫骊山5、华山6、黄帝陵7、吴起中央红军长征胜利纪念园 8、秦始皇兵马俑9、清真大寺10、青铜器博物院 11、西安城墙12、西安世博园13、药王山14、玉华宫15、照金香山16、陕西省西安市大明宫旅游景区17、定军山18、凤凰山19、金台观20、宝鸡市太白山旅游景区21、五丈原诸葛亮庙22、武侯祠23、张良庙24、法门寺25、茂陵博物馆26、杨家岭革命旧址27、诸葛古镇28、周公庙29、中华石鼓园30、炎帝陵31、武侯墓32、司马迁景区33、张载祠；34、川陕革命根据地纪念馆35、延安枣园革命旧址36、汉景帝阳陵博物院37、西安事变纪念馆38、延安革命纪念馆39、中共中央西北局纪念馆第一展厅40、中共中央西北局纪念馆第二展厅41、延安凤凰山麓革命旧址42、商洛市金丝峡景区43、黄河壶口瀑布旅游区（陕西段）44、白鹿原影视城45、西安汉城湖46、翠华山景区47、陇县关山草原旅游风景区48、延安宝塔山49、少华山景区50、西安半坡博物馆51、陕西历史博物馆52、西安市华清池景区53、延安市黄帝陵景区54、宝鸡市法门寺佛文化景区55、西安碑林博物馆 </w:t>
                  </w:r>
                </w:p>
                <w:p>
                  <w:pPr>
                    <w:pStyle w:val="null3"/>
                    <w:jc w:val="left"/>
                  </w:pPr>
                  <w:r>
                    <w:rPr>
                      <w:rFonts w:ascii="仿宋_GB2312" w:hAnsi="仿宋_GB2312" w:cs="仿宋_GB2312" w:eastAsia="仿宋_GB2312"/>
                      <w:sz w:val="19"/>
                    </w:rPr>
                    <w:t>全国景点：</w:t>
                  </w:r>
                </w:p>
                <w:p>
                  <w:pPr>
                    <w:pStyle w:val="null3"/>
                    <w:jc w:val="left"/>
                  </w:pPr>
                  <w:r>
                    <w:rPr>
                      <w:rFonts w:ascii="仿宋_GB2312" w:hAnsi="仿宋_GB2312" w:cs="仿宋_GB2312" w:eastAsia="仿宋_GB2312"/>
                      <w:sz w:val="19"/>
                    </w:rPr>
                    <w:t>1、西递2、黄山风景区3、安徽名人馆4、中国宣纸文化园5、南京大屠杀纪念馆6、淮海战役纪念馆7、盐城新四军纪念馆8、南京夫子庙秦淮风光带9、留园10、虎丘山11、拙政园12、姑苏寒山寺13、苏州网师园14、同里古镇15、苏州博物馆16、苏州狮子林17、昆山周庄古镇18、苏州平江历史文化街区19、镇江北固山20、中共一大会址纪念馆21、四行仓库抗战纪念馆22、中共四大纪念馆23、上海科技馆24、嘉兴南湖革命纪念馆25、杭州市西湖风景名胜区26、桐乡乌镇古镇旅游区27、雁荡山风景名胜区28、普陀山风景名胜区29、南浔古镇30、神仙居31、横店影视城32、绍兴市鲁迅故里景区33、浙江省博物馆（武林馆区）34、中国水利博物馆35、庐山风景名胜区36、庐山白鹿洞书院37、南昌市滕王阁旅游区38、关西围屋景区39、雅溪古村40、大余丫山景区41、渼陂古村42、瑶里古镇43、江西省凤凰沟景区44、景德镇古窑民俗博览区45、皇窑景区46、瑞金中央革命根据地历史博物馆47、韶山毛泽东同志纪念馆48、花明楼景区49、武陵源风景区50、岳阳楼景区51、凤凰古城景区</w:t>
                  </w:r>
                </w:p>
                <w:p>
                  <w:pPr>
                    <w:pStyle w:val="null3"/>
                    <w:jc w:val="both"/>
                  </w:pPr>
                  <w:r>
                    <w:rPr>
                      <w:rFonts w:ascii="仿宋_GB2312" w:hAnsi="仿宋_GB2312" w:cs="仿宋_GB2312" w:eastAsia="仿宋_GB2312"/>
                      <w:sz w:val="19"/>
                    </w:rPr>
                    <w:t>【终身免费升级维护，根据教学需求2年左右升级1次。】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教师操作端</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1、CPU：不低于13代i7处理器，采用涡轮风扇，提高散热效果；</w:t>
                  </w:r>
                </w:p>
                <w:p>
                  <w:pPr>
                    <w:pStyle w:val="null3"/>
                    <w:jc w:val="both"/>
                  </w:pPr>
                  <w:r>
                    <w:rPr>
                      <w:rFonts w:ascii="仿宋_GB2312" w:hAnsi="仿宋_GB2312" w:cs="仿宋_GB2312" w:eastAsia="仿宋_GB2312"/>
                      <w:sz w:val="19"/>
                    </w:rPr>
                    <w:t>2、内存：不低于16G  DDR5 5200Mhz；内存插槽不低于2个；</w:t>
                  </w:r>
                </w:p>
                <w:p>
                  <w:pPr>
                    <w:pStyle w:val="null3"/>
                    <w:jc w:val="both"/>
                  </w:pPr>
                  <w:r>
                    <w:rPr>
                      <w:rFonts w:ascii="仿宋_GB2312" w:hAnsi="仿宋_GB2312" w:cs="仿宋_GB2312" w:eastAsia="仿宋_GB2312"/>
                      <w:sz w:val="19"/>
                    </w:rPr>
                    <w:t>3、硬盘：不低于512GB M.2 固态硬盘；</w:t>
                  </w:r>
                </w:p>
                <w:p>
                  <w:pPr>
                    <w:pStyle w:val="null3"/>
                    <w:jc w:val="both"/>
                  </w:pPr>
                  <w:r>
                    <w:rPr>
                      <w:rFonts w:ascii="仿宋_GB2312" w:hAnsi="仿宋_GB2312" w:cs="仿宋_GB2312" w:eastAsia="仿宋_GB2312"/>
                      <w:sz w:val="19"/>
                    </w:rPr>
                    <w:t>4、存储扩展：不少于2个M.2 SSD槽位和1个HDD硬盘位，支持后续扩展存储；</w:t>
                  </w:r>
                </w:p>
                <w:p>
                  <w:pPr>
                    <w:pStyle w:val="null3"/>
                    <w:jc w:val="both"/>
                  </w:pPr>
                  <w:r>
                    <w:rPr>
                      <w:rFonts w:ascii="仿宋_GB2312" w:hAnsi="仿宋_GB2312" w:cs="仿宋_GB2312" w:eastAsia="仿宋_GB2312"/>
                      <w:sz w:val="19"/>
                    </w:rPr>
                    <w:t>5、扩展槽：不少于1个PCI-E*16、1个PCI-E*1 槽位,集成至少1个M.2 WIFI槽，以供后续内置WIFI扩展</w:t>
                  </w:r>
                </w:p>
                <w:p>
                  <w:pPr>
                    <w:pStyle w:val="null3"/>
                    <w:jc w:val="both"/>
                  </w:pPr>
                  <w:r>
                    <w:rPr>
                      <w:rFonts w:ascii="仿宋_GB2312" w:hAnsi="仿宋_GB2312" w:cs="仿宋_GB2312" w:eastAsia="仿宋_GB2312"/>
                      <w:sz w:val="19"/>
                    </w:rPr>
                    <w:t>6、接口：不少于9个USB接口，其中1个USB3.2 Gen1 Type-C、6个USB3.2 USB-A口、前置不少于4个USB3.2 USB-A口</w:t>
                  </w:r>
                </w:p>
                <w:p>
                  <w:pPr>
                    <w:pStyle w:val="null3"/>
                    <w:jc w:val="both"/>
                  </w:pPr>
                  <w:r>
                    <w:rPr>
                      <w:rFonts w:ascii="仿宋_GB2312" w:hAnsi="仿宋_GB2312" w:cs="仿宋_GB2312" w:eastAsia="仿宋_GB2312"/>
                      <w:sz w:val="19"/>
                    </w:rPr>
                    <w:t>7、视频：至少1个VGA和1个HDMI接口；</w:t>
                  </w:r>
                </w:p>
                <w:p>
                  <w:pPr>
                    <w:pStyle w:val="null3"/>
                    <w:jc w:val="both"/>
                  </w:pPr>
                  <w:r>
                    <w:rPr>
                      <w:rFonts w:ascii="仿宋_GB2312" w:hAnsi="仿宋_GB2312" w:cs="仿宋_GB2312" w:eastAsia="仿宋_GB2312"/>
                      <w:sz w:val="19"/>
                    </w:rPr>
                    <w:t>8、键鼠：原厂有线USB键盘鼠标套装，支持键盘ALT+P组合键开启电脑，且对应主机接口有功能标识。</w:t>
                  </w:r>
                </w:p>
                <w:p>
                  <w:pPr>
                    <w:pStyle w:val="null3"/>
                    <w:jc w:val="both"/>
                  </w:pPr>
                  <w:r>
                    <w:rPr>
                      <w:rFonts w:ascii="仿宋_GB2312" w:hAnsi="仿宋_GB2312" w:cs="仿宋_GB2312" w:eastAsia="仿宋_GB2312"/>
                      <w:sz w:val="19"/>
                    </w:rPr>
                    <w:t>9、、USB安全：智能USB数据保护功能，可以设置USB存储设备只读模式和禁止访问模式。而且每个USB端口在BIOS有单独控制开关</w:t>
                  </w:r>
                </w:p>
                <w:p>
                  <w:pPr>
                    <w:pStyle w:val="null3"/>
                    <w:jc w:val="both"/>
                  </w:pPr>
                  <w:r>
                    <w:rPr>
                      <w:rFonts w:ascii="仿宋_GB2312" w:hAnsi="仿宋_GB2312" w:cs="仿宋_GB2312" w:eastAsia="仿宋_GB2312"/>
                      <w:sz w:val="19"/>
                    </w:rPr>
                    <w:t>10、电源：不低于180W 90%能效电源</w:t>
                  </w:r>
                </w:p>
                <w:p>
                  <w:pPr>
                    <w:pStyle w:val="null3"/>
                    <w:jc w:val="both"/>
                  </w:pPr>
                  <w:r>
                    <w:rPr>
                      <w:rFonts w:ascii="仿宋_GB2312" w:hAnsi="仿宋_GB2312" w:cs="仿宋_GB2312" w:eastAsia="仿宋_GB2312"/>
                      <w:sz w:val="19"/>
                    </w:rPr>
                    <w:t>11、机箱：不大于8.5L；智能散热设计，从Bios界面具有性能模式、均衡模式、和全速模式可选。</w:t>
                  </w:r>
                </w:p>
                <w:p>
                  <w:pPr>
                    <w:pStyle w:val="null3"/>
                    <w:jc w:val="both"/>
                  </w:pPr>
                  <w:r>
                    <w:rPr>
                      <w:rFonts w:ascii="仿宋_GB2312" w:hAnsi="仿宋_GB2312" w:cs="仿宋_GB2312" w:eastAsia="仿宋_GB2312"/>
                      <w:sz w:val="19"/>
                    </w:rPr>
                    <w:t>显示器：</w:t>
                  </w:r>
                </w:p>
                <w:p>
                  <w:pPr>
                    <w:pStyle w:val="null3"/>
                    <w:jc w:val="both"/>
                  </w:pPr>
                  <w:r>
                    <w:rPr>
                      <w:rFonts w:ascii="仿宋_GB2312" w:hAnsi="仿宋_GB2312" w:cs="仿宋_GB2312" w:eastAsia="仿宋_GB2312"/>
                      <w:sz w:val="19"/>
                    </w:rPr>
                    <w:t>（1）、配置不低于23.8英寸显示屏幕，分辨率不低于1920*1080， IPS屏，与主机同品牌；支持VGA和HDMI口；</w:t>
                  </w:r>
                </w:p>
                <w:p>
                  <w:pPr>
                    <w:pStyle w:val="null3"/>
                    <w:jc w:val="both"/>
                  </w:pPr>
                  <w:r>
                    <w:rPr>
                      <w:rFonts w:ascii="仿宋_GB2312" w:hAnsi="仿宋_GB2312" w:cs="仿宋_GB2312" w:eastAsia="仿宋_GB2312"/>
                      <w:sz w:val="19"/>
                    </w:rPr>
                    <w:t>（2）、显示屏幕不低于99% sRGB广色域，16.7M色彩支持；</w:t>
                  </w:r>
                </w:p>
                <w:p>
                  <w:pPr>
                    <w:pStyle w:val="null3"/>
                    <w:jc w:val="both"/>
                  </w:pPr>
                  <w:r>
                    <w:rPr>
                      <w:rFonts w:ascii="仿宋_GB2312" w:hAnsi="仿宋_GB2312" w:cs="仿宋_GB2312" w:eastAsia="仿宋_GB2312"/>
                      <w:sz w:val="19"/>
                    </w:rPr>
                    <w:t>（3）、对比度不低于1300:1，动态对比度不低于3M：1,响应时间可不高于4ms，可视角度178°/178°，原生硬件低蓝光；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机柜</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1、类型：专业机柜；</w:t>
                  </w:r>
                </w:p>
                <w:p>
                  <w:pPr>
                    <w:pStyle w:val="null3"/>
                    <w:jc w:val="both"/>
                  </w:pPr>
                  <w:r>
                    <w:rPr>
                      <w:rFonts w:ascii="仿宋_GB2312" w:hAnsi="仿宋_GB2312" w:cs="仿宋_GB2312" w:eastAsia="仿宋_GB2312"/>
                      <w:sz w:val="19"/>
                    </w:rPr>
                    <w:t>2、尺寸：高度≧1800mm，宽度≧600mm，深度≧1000mm；</w:t>
                  </w:r>
                </w:p>
                <w:p>
                  <w:pPr>
                    <w:pStyle w:val="null3"/>
                    <w:jc w:val="both"/>
                  </w:pPr>
                  <w:r>
                    <w:rPr>
                      <w:rFonts w:ascii="仿宋_GB2312" w:hAnsi="仿宋_GB2312" w:cs="仿宋_GB2312" w:eastAsia="仿宋_GB2312"/>
                      <w:sz w:val="19"/>
                    </w:rPr>
                    <w:t>3、容量：≧36U；</w:t>
                  </w:r>
                </w:p>
                <w:p>
                  <w:pPr>
                    <w:pStyle w:val="null3"/>
                    <w:jc w:val="both"/>
                  </w:pPr>
                  <w:r>
                    <w:rPr>
                      <w:rFonts w:ascii="仿宋_GB2312" w:hAnsi="仿宋_GB2312" w:cs="仿宋_GB2312" w:eastAsia="仿宋_GB2312"/>
                      <w:sz w:val="19"/>
                    </w:rPr>
                    <w:t>4、门及门锁：网状冷轧钢前门或侧通风钢化玻璃主体前门，弹式免匙锁；后门：冷轧钢网孔后门，钢质圆锁；</w:t>
                  </w:r>
                </w:p>
                <w:p>
                  <w:pPr>
                    <w:pStyle w:val="null3"/>
                    <w:jc w:val="both"/>
                  </w:pPr>
                  <w:r>
                    <w:rPr>
                      <w:rFonts w:ascii="仿宋_GB2312" w:hAnsi="仿宋_GB2312" w:cs="仿宋_GB2312" w:eastAsia="仿宋_GB2312"/>
                      <w:sz w:val="19"/>
                    </w:rPr>
                    <w:t>5、走线：上，下预留走线孔位，底部可完全敞开；</w:t>
                  </w:r>
                </w:p>
                <w:p>
                  <w:pPr>
                    <w:pStyle w:val="null3"/>
                    <w:jc w:val="both"/>
                  </w:pPr>
                  <w:r>
                    <w:rPr>
                      <w:rFonts w:ascii="仿宋_GB2312" w:hAnsi="仿宋_GB2312" w:cs="仿宋_GB2312" w:eastAsia="仿宋_GB2312"/>
                      <w:sz w:val="19"/>
                    </w:rPr>
                    <w:t>6、通风：置顶式四风机或六风机散热单元，底部进风口。</w:t>
                  </w:r>
                </w:p>
                <w:p>
                  <w:pPr>
                    <w:pStyle w:val="null3"/>
                    <w:jc w:val="both"/>
                  </w:pPr>
                  <w:r>
                    <w:rPr>
                      <w:rFonts w:ascii="仿宋_GB2312" w:hAnsi="仿宋_GB2312" w:cs="仿宋_GB2312" w:eastAsia="仿宋_GB2312"/>
                      <w:sz w:val="19"/>
                    </w:rPr>
                    <w:t xml:space="preserve"> </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文化建设</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一、综合布线工程</w:t>
                  </w:r>
                </w:p>
                <w:p>
                  <w:pPr>
                    <w:pStyle w:val="null3"/>
                    <w:jc w:val="left"/>
                  </w:pPr>
                  <w:r>
                    <w:rPr>
                      <w:rFonts w:ascii="仿宋_GB2312" w:hAnsi="仿宋_GB2312" w:cs="仿宋_GB2312" w:eastAsia="仿宋_GB2312"/>
                      <w:sz w:val="19"/>
                    </w:rPr>
                    <w:t>1、电线：BV2.5㎡（照明/普通插座）、BV4㎡（大功率）、BV1.5㎡（接地），铜芯阻燃，B1级，符合GB/T 5023-2008；PVC阻燃线管Φ20/Φ25，壁厚≥1.6mm。</w:t>
                  </w:r>
                </w:p>
                <w:p>
                  <w:pPr>
                    <w:pStyle w:val="null3"/>
                    <w:jc w:val="left"/>
                  </w:pPr>
                  <w:r>
                    <w:rPr>
                      <w:rFonts w:ascii="仿宋_GB2312" w:hAnsi="仿宋_GB2312" w:cs="仿宋_GB2312" w:eastAsia="仿宋_GB2312"/>
                      <w:sz w:val="19"/>
                    </w:rPr>
                    <w:t>2、辅材：86mm×86mm阻燃ABS线盒；3C认证空开，漏电保护器动作电流≤30mA。</w:t>
                  </w:r>
                </w:p>
                <w:p>
                  <w:pPr>
                    <w:pStyle w:val="null3"/>
                    <w:jc w:val="left"/>
                  </w:pPr>
                  <w:r>
                    <w:rPr>
                      <w:rFonts w:ascii="仿宋_GB2312" w:hAnsi="仿宋_GB2312" w:cs="仿宋_GB2312" w:eastAsia="仿宋_GB2312"/>
                      <w:sz w:val="19"/>
                    </w:rPr>
                    <w:t>3、数量：开关10-13个、插座12-15个，强弱电分离布线，暗敷规范，含安装调试。</w:t>
                  </w:r>
                </w:p>
                <w:p>
                  <w:pPr>
                    <w:pStyle w:val="null3"/>
                    <w:jc w:val="both"/>
                  </w:pPr>
                  <w:r>
                    <w:rPr>
                      <w:rFonts w:ascii="仿宋_GB2312" w:hAnsi="仿宋_GB2312" w:cs="仿宋_GB2312" w:eastAsia="仿宋_GB2312"/>
                      <w:sz w:val="19"/>
                    </w:rPr>
                    <w:t>二、顶面装修</w:t>
                  </w:r>
                </w:p>
                <w:p>
                  <w:pPr>
                    <w:pStyle w:val="null3"/>
                    <w:jc w:val="left"/>
                  </w:pPr>
                  <w:r>
                    <w:rPr>
                      <w:rFonts w:ascii="仿宋_GB2312" w:hAnsi="仿宋_GB2312" w:cs="仿宋_GB2312" w:eastAsia="仿宋_GB2312"/>
                      <w:sz w:val="19"/>
                    </w:rPr>
                    <w:t>采用铝方通吊顶，搭配嵌入式灯带，简约造型设计（贴合研学实训室氛围），所有材质均为E1级环保材质；铝方通规格适配实训室尺寸，安装平整牢固，灯带亮度均匀，造型简洁大气，施工平整无瑕疵。</w:t>
                  </w:r>
                </w:p>
                <w:p>
                  <w:pPr>
                    <w:pStyle w:val="null3"/>
                    <w:jc w:val="both"/>
                  </w:pPr>
                  <w:r>
                    <w:rPr>
                      <w:rFonts w:ascii="仿宋_GB2312" w:hAnsi="仿宋_GB2312" w:cs="仿宋_GB2312" w:eastAsia="仿宋_GB2312"/>
                      <w:sz w:val="19"/>
                    </w:rPr>
                    <w:t>三、墙面装修</w:t>
                  </w:r>
                </w:p>
                <w:p>
                  <w:pPr>
                    <w:pStyle w:val="null3"/>
                    <w:jc w:val="left"/>
                  </w:pPr>
                  <w:r>
                    <w:rPr>
                      <w:rFonts w:ascii="仿宋_GB2312" w:hAnsi="仿宋_GB2312" w:cs="仿宋_GB2312" w:eastAsia="仿宋_GB2312"/>
                      <w:sz w:val="19"/>
                    </w:rPr>
                    <w:t>基层铲墙找平刷抗碱底漆，两遍环保耐擦洗乳胶漆（浅色系、E1级），预留展板及设备安装点位。</w:t>
                  </w:r>
                </w:p>
                <w:p>
                  <w:pPr>
                    <w:pStyle w:val="null3"/>
                    <w:jc w:val="both"/>
                  </w:pPr>
                  <w:r>
                    <w:rPr>
                      <w:rFonts w:ascii="仿宋_GB2312" w:hAnsi="仿宋_GB2312" w:cs="仿宋_GB2312" w:eastAsia="仿宋_GB2312"/>
                      <w:sz w:val="19"/>
                    </w:rPr>
                    <w:t>四、地面装修</w:t>
                  </w:r>
                </w:p>
                <w:p>
                  <w:pPr>
                    <w:pStyle w:val="null3"/>
                    <w:jc w:val="left"/>
                  </w:pPr>
                  <w:r>
                    <w:rPr>
                      <w:rFonts w:ascii="仿宋_GB2312" w:hAnsi="仿宋_GB2312" w:cs="仿宋_GB2312" w:eastAsia="仿宋_GB2312"/>
                      <w:sz w:val="19"/>
                    </w:rPr>
                    <w:t>优先PVC塑胶或强化复合地板（E1级），耐磨防滑易清洁，96㎡实际面积铺设，平整无起鼓。</w:t>
                  </w:r>
                </w:p>
                <w:p>
                  <w:pPr>
                    <w:pStyle w:val="null3"/>
                    <w:jc w:val="both"/>
                  </w:pPr>
                  <w:r>
                    <w:rPr>
                      <w:rFonts w:ascii="仿宋_GB2312" w:hAnsi="仿宋_GB2312" w:cs="仿宋_GB2312" w:eastAsia="仿宋_GB2312"/>
                      <w:sz w:val="19"/>
                    </w:rPr>
                    <w:t>五、定制展示柜</w:t>
                  </w:r>
                </w:p>
                <w:p>
                  <w:pPr>
                    <w:pStyle w:val="null3"/>
                    <w:jc w:val="left"/>
                  </w:pPr>
                  <w:r>
                    <w:rPr>
                      <w:rFonts w:ascii="仿宋_GB2312" w:hAnsi="仿宋_GB2312" w:cs="仿宋_GB2312" w:eastAsia="仿宋_GB2312"/>
                      <w:sz w:val="19"/>
                    </w:rPr>
                    <w:t>现场定制，E1级环保板材，单层承重≥20kg，外观简洁适配实训室，安装牢固。</w:t>
                  </w:r>
                </w:p>
                <w:p>
                  <w:pPr>
                    <w:pStyle w:val="null3"/>
                    <w:jc w:val="both"/>
                  </w:pPr>
                  <w:r>
                    <w:rPr>
                      <w:rFonts w:ascii="仿宋_GB2312" w:hAnsi="仿宋_GB2312" w:cs="仿宋_GB2312" w:eastAsia="仿宋_GB2312"/>
                      <w:sz w:val="19"/>
                    </w:rPr>
                    <w:t>六、定制遮光窗帘</w:t>
                  </w:r>
                </w:p>
                <w:p>
                  <w:pPr>
                    <w:pStyle w:val="null3"/>
                    <w:jc w:val="both"/>
                  </w:pPr>
                  <w:r>
                    <w:rPr>
                      <w:rFonts w:ascii="仿宋_GB2312" w:hAnsi="仿宋_GB2312" w:cs="仿宋_GB2312" w:eastAsia="仿宋_GB2312"/>
                      <w:sz w:val="19"/>
                    </w:rPr>
                    <w:t>现场测量定制，面料耐磨易清洁，遮光率≥95%，轨道耐用，安装牢固拉动顺畅。</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本项目核心产品为：研学旅行指导师实训平台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质保期：除智慧导游亭外，其余全部硬件产品提供1 年免费保换、3 年免费保修服务；智慧导游亭硬件提供2 年免费保换、5 年免费保修服务；本项目全部配套软件提供终身免费技术售后支持。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预付款，合同签订后，货物运抵现场并经甲方初步核对数量、外观、型号无误，达到付款条件起，达到付款条件起10个工作日内，支付合同总金额的40.0%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进度款，产品安装调试完成，学校全部设备最终验收合格，乙方持《终验合格单》原件并向甲方提供合同总金额的全额增值税专用发票后，达到付款条件起5个工作日内，支付合同总金额的60.0%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导游亭设备：自项目整体验收合格之日起，提供2 年免费保换服务、5 年免费保修服务；其余硬件产品：自项目整体验收合格之日起，提供1 年免费保换服务、3 年免费保修服务；项目所有配套软件，提供终身技术售后支持服务。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2.各投标人自行携带相关设备，评审现场仅提供投影仪器，演示时间不超过15分钟。演示地点：陕西省西安市雁塔区锦业路1号都市之门C座9层评标二室。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节能、环保产品.docx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投标保证金已按招标文件规定提交且金额、形式、缴纳时间（投标截止时间前）符合招标文件要求。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节能、环保产品.docx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1、本项目参数完全满足采购需求得40分，普通参数有一项不满足扣1分，扣完为止。 注：须提供证明材料，不限于：制造商出具的产品规格表、产品宣传彩页、技术白皮书、制造商官方网站发布的产品信息、说明书、检测报告或相关承诺等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对MR智能导游综合实训平台的数据模块的两项系统功能进行现场演示①数据板块支持自定义对比分析，支持对全国各个省份具体的景区或者酒店进行对比分析；可根据省份、景区级别选择对应的景区添加到分析；可选择对应的时间段筛选数据；自动分析各景区近12个月指数对比趋势图、口碑结构、OTA分布、客流结构对比等信息；可根据省份及星级筛选对应的酒店添加到分析列表；自动分析各酒店近12个月指数对比趋势图、口碑结构、OTA分布、客流结构对比等信息。客户数据板块支持触点管理的投放渠道的设定，渠道活动支持绑定落地页及自动化的营销规则，并统计当前渠道的浏览量及客户浏览时长。 ②数据板块拥有数据的综合看板分析，包含景区和酒店（自由切换）口碑指数进行分析；自动生成月份的酒店/景区口碑指数，自动计算本省在全国的排名；系统自动统计展示的平均指数、最高指数及最低指数；展示本省景区和酒店当前的口碑总数、好评总数、好评率、差评总数及差评率，并根据算法自动计划上月环比数据。客户数据板块支持客户的画像标签及动态标签的展示；支持客户全国分布的统计，支持搜索引擎的推广管理。 每提供一项演示，且符合采购需求要求，得2分，满分4分，各投标人自行携带相关设备，评审现场仅提供投影仪器，演示时间不超过15分钟。演示地点：陕西省西安市雁塔区锦业路1号都市之门C座9层评标二室。</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 ①项目实施计划及配送方案； ②设备调试方案； ③人员配备方案（包括但不限于项目负责人、安装调试人员、配送人员、培训人员、售后服务技术人员等）； ④应急预案及特殊情况处理措施； ⑤产品供货渠道（包括但不限于原厂授权、销售协议、代理协议等资料）注：供应商提供上述任一形式或其他可证明货物合法来源、可追溯的有效材料均可； ⑥质量保证措施（包括但不限于设备品质、制造工艺、易损易耗品响应方案等）； ⑦售后服务保障内容（包括但不限于质保期内和质保期后的正常维护和维修响应时间等售后服务措施）； ⑧产品使用培训方案（包括但不限于培训安排、培训目的、培训目标、培训计划等）。 评审标准:上述每项方案内容无缺陷得2分，满分为16分。方案内容每存在1处缺陷：扣0.5分，扣完为止；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 ①售后服务机构地址，电话联系人、售后服务人员组织； ②售后服务保障措施，产品交付采购方后出现质量问题的响应时间； ③供货不及时、出现残次品等补货换货解决方案； ④售后服务承诺及培训要求。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详见附件：拟签订的合同文本-研学旅行.docx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