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705EE">
      <w:pPr>
        <w:spacing w:line="360" w:lineRule="auto"/>
        <w:jc w:val="center"/>
        <w:outlineLvl w:val="0"/>
        <w:rPr>
          <w:rFonts w:hint="default" w:ascii="Times New Roman" w:hAnsi="Times New Roman" w:eastAsia="仿宋" w:cs="Times New Roman"/>
          <w:sz w:val="32"/>
          <w:szCs w:val="32"/>
          <w:highlight w:val="none"/>
        </w:rPr>
      </w:pPr>
      <w:r>
        <w:rPr>
          <w:rStyle w:val="7"/>
          <w:rFonts w:hint="default" w:ascii="Times New Roman" w:hAnsi="Times New Roman" w:eastAsia="仿宋" w:cs="Times New Roman"/>
          <w:szCs w:val="32"/>
          <w:highlight w:val="none"/>
        </w:rPr>
        <w:t>拟签订的合同</w:t>
      </w:r>
      <w:bookmarkStart w:id="0" w:name="_Hlt487972895"/>
      <w:bookmarkEnd w:id="0"/>
      <w:bookmarkStart w:id="1" w:name="_Toc216513788"/>
      <w:bookmarkStart w:id="2" w:name="_Toc487900382"/>
      <w:r>
        <w:rPr>
          <w:rStyle w:val="7"/>
          <w:rFonts w:hint="default" w:ascii="Times New Roman" w:hAnsi="Times New Roman" w:eastAsia="仿宋" w:cs="Times New Roman"/>
          <w:szCs w:val="32"/>
          <w:highlight w:val="none"/>
        </w:rPr>
        <w:t>文本</w:t>
      </w:r>
    </w:p>
    <w:bookmarkEnd w:id="1"/>
    <w:bookmarkEnd w:id="2"/>
    <w:p w14:paraId="6FD27070">
      <w:pPr>
        <w:tabs>
          <w:tab w:val="left" w:pos="735"/>
        </w:tabs>
        <w:autoSpaceDE w:val="0"/>
        <w:autoSpaceDN w:val="0"/>
        <w:adjustRightInd w:val="0"/>
        <w:snapToGrid w:val="0"/>
        <w:spacing w:before="312" w:beforeLines="100" w:line="360" w:lineRule="auto"/>
        <w:rPr>
          <w:rFonts w:hint="default" w:ascii="Times New Roman" w:hAnsi="Times New Roman" w:eastAsia="仿宋" w:cs="Times New Roman"/>
          <w:b/>
          <w:bCs/>
          <w:sz w:val="24"/>
          <w:lang w:val="zh-CN"/>
        </w:rPr>
      </w:pPr>
      <w:r>
        <w:rPr>
          <w:rFonts w:hint="default" w:ascii="Times New Roman" w:hAnsi="Times New Roman" w:eastAsia="仿宋" w:cs="Times New Roman"/>
          <w:b/>
          <w:bCs/>
          <w:sz w:val="24"/>
          <w:lang w:val="zh-CN"/>
        </w:rPr>
        <w:t>甲方：</w:t>
      </w:r>
      <w:r>
        <w:rPr>
          <w:rFonts w:hint="default" w:ascii="Times New Roman" w:hAnsi="Times New Roman" w:eastAsia="仿宋" w:cs="Times New Roman"/>
          <w:bCs/>
          <w:sz w:val="24"/>
          <w:lang w:val="zh-CN"/>
        </w:rPr>
        <w:t>（前款所称采购人）     住所：</w:t>
      </w:r>
    </w:p>
    <w:p w14:paraId="532724FF">
      <w:pPr>
        <w:tabs>
          <w:tab w:val="left" w:pos="735"/>
        </w:tabs>
        <w:autoSpaceDE w:val="0"/>
        <w:autoSpaceDN w:val="0"/>
        <w:adjustRightInd w:val="0"/>
        <w:snapToGrid w:val="0"/>
        <w:spacing w:line="360" w:lineRule="auto"/>
        <w:rPr>
          <w:rFonts w:hint="default" w:ascii="Times New Roman" w:hAnsi="Times New Roman" w:eastAsia="仿宋" w:cs="Times New Roman"/>
          <w:bCs/>
          <w:sz w:val="24"/>
          <w:lang w:val="zh-CN"/>
        </w:rPr>
      </w:pPr>
      <w:r>
        <w:rPr>
          <w:rFonts w:hint="default" w:ascii="Times New Roman" w:hAnsi="Times New Roman" w:eastAsia="仿宋" w:cs="Times New Roman"/>
          <w:b/>
          <w:bCs/>
          <w:sz w:val="24"/>
          <w:lang w:val="zh-CN"/>
        </w:rPr>
        <w:t>乙方：</w:t>
      </w:r>
      <w:r>
        <w:rPr>
          <w:rFonts w:hint="default" w:ascii="Times New Roman" w:hAnsi="Times New Roman" w:eastAsia="仿宋" w:cs="Times New Roman"/>
          <w:bCs/>
          <w:sz w:val="24"/>
          <w:lang w:val="zh-CN"/>
        </w:rPr>
        <w:t>（前款所称中标人）     住所：</w:t>
      </w:r>
    </w:p>
    <w:p w14:paraId="04F96AC5">
      <w:pPr>
        <w:pStyle w:val="4"/>
        <w:rPr>
          <w:rFonts w:hint="default" w:ascii="Times New Roman" w:hAnsi="Times New Roman" w:eastAsia="仿宋" w:cs="Times New Roman"/>
          <w:lang w:val="zh-CN"/>
        </w:rPr>
      </w:pPr>
    </w:p>
    <w:p w14:paraId="4EA59D9E">
      <w:pPr>
        <w:numPr>
          <w:ilvl w:val="0"/>
          <w:numId w:val="1"/>
        </w:numPr>
        <w:adjustRightInd w:val="0"/>
        <w:snapToGrid w:val="0"/>
        <w:spacing w:line="360" w:lineRule="auto"/>
        <w:ind w:firstLine="480" w:firstLineChars="200"/>
        <w:rPr>
          <w:rFonts w:hint="default" w:ascii="Times New Roman" w:hAnsi="Times New Roman" w:eastAsia="仿宋" w:cs="Times New Roman"/>
          <w:sz w:val="24"/>
        </w:rPr>
      </w:pPr>
      <w:bookmarkStart w:id="3" w:name="_Toc19515384"/>
      <w:r>
        <w:rPr>
          <w:rFonts w:hint="default" w:ascii="Times New Roman" w:hAnsi="Times New Roman" w:eastAsia="仿宋" w:cs="Times New Roman"/>
          <w:sz w:val="24"/>
        </w:rPr>
        <w:t>合同内容（标的、数量、质量等）:</w:t>
      </w:r>
      <w:bookmarkEnd w:id="3"/>
    </w:p>
    <w:p w14:paraId="6EE2A11F">
      <w:pPr>
        <w:adjustRightInd w:val="0"/>
        <w:snapToGrid w:val="0"/>
        <w:spacing w:line="360" w:lineRule="auto"/>
        <w:ind w:firstLine="480" w:firstLineChars="200"/>
        <w:rPr>
          <w:rFonts w:hint="default" w:ascii="Times New Roman" w:hAnsi="Times New Roman" w:eastAsia="仿宋" w:cs="Times New Roman"/>
          <w:sz w:val="24"/>
          <w:lang w:eastAsia="zh-CN"/>
        </w:rPr>
      </w:pPr>
      <w:r>
        <w:rPr>
          <w:rFonts w:hint="default" w:ascii="Times New Roman" w:hAnsi="Times New Roman" w:eastAsia="仿宋" w:cs="Times New Roman"/>
          <w:sz w:val="24"/>
        </w:rPr>
        <w:t>1.内容：</w:t>
      </w:r>
      <w:r>
        <w:rPr>
          <w:rFonts w:hint="eastAsia" w:eastAsia="仿宋" w:cs="Times New Roman"/>
          <w:sz w:val="24"/>
          <w:lang w:val="en-US" w:eastAsia="zh-CN"/>
        </w:rPr>
        <w:t>研学旅行实训室建设项目</w:t>
      </w:r>
      <w:bookmarkStart w:id="9" w:name="_GoBack"/>
      <w:bookmarkEnd w:id="9"/>
    </w:p>
    <w:p w14:paraId="3EF0E892">
      <w:pPr>
        <w:adjustRightInd w:val="0"/>
        <w:snapToGrid w:val="0"/>
        <w:spacing w:line="360" w:lineRule="auto"/>
        <w:ind w:firstLine="480" w:firstLineChars="200"/>
        <w:rPr>
          <w:rFonts w:hint="default" w:ascii="Times New Roman" w:hAnsi="Times New Roman" w:eastAsia="仿宋" w:cs="Times New Roman"/>
          <w:sz w:val="24"/>
          <w:highlight w:val="yellow"/>
          <w:lang w:val="en-US" w:eastAsia="zh-CN"/>
        </w:rPr>
      </w:pPr>
      <w:r>
        <w:rPr>
          <w:rFonts w:hint="default" w:ascii="Times New Roman" w:hAnsi="Times New Roman" w:eastAsia="仿宋" w:cs="Times New Roman"/>
          <w:sz w:val="24"/>
        </w:rPr>
        <w:t>2.数量：</w:t>
      </w:r>
      <w:r>
        <w:rPr>
          <w:rFonts w:hint="default" w:ascii="Times New Roman" w:hAnsi="Times New Roman" w:eastAsia="仿宋" w:cs="Times New Roman"/>
          <w:sz w:val="24"/>
          <w:highlight w:val="none"/>
          <w:lang w:val="en-US" w:eastAsia="zh-CN"/>
        </w:rPr>
        <w:t>详见采购清单。</w:t>
      </w:r>
    </w:p>
    <w:p w14:paraId="07F68FD8">
      <w:pPr>
        <w:adjustRightInd w:val="0"/>
        <w:snapToGrid w:val="0"/>
        <w:spacing w:line="360" w:lineRule="auto"/>
        <w:ind w:firstLine="480" w:firstLineChars="200"/>
        <w:rPr>
          <w:rFonts w:hint="default" w:ascii="Times New Roman" w:hAnsi="Times New Roman" w:eastAsia="仿宋" w:cs="Times New Roman"/>
          <w:sz w:val="24"/>
          <w:lang w:val="en-US" w:eastAsia="zh-CN"/>
        </w:rPr>
      </w:pPr>
      <w:r>
        <w:rPr>
          <w:rFonts w:hint="default" w:ascii="Times New Roman" w:hAnsi="Times New Roman" w:eastAsia="仿宋" w:cs="Times New Roman"/>
          <w:sz w:val="24"/>
        </w:rPr>
        <w:t>3.质量：</w:t>
      </w:r>
    </w:p>
    <w:p w14:paraId="474A7326">
      <w:pPr>
        <w:adjustRightInd w:val="0"/>
        <w:snapToGrid w:val="0"/>
        <w:spacing w:line="360" w:lineRule="auto"/>
        <w:ind w:firstLine="480" w:firstLineChars="200"/>
        <w:rPr>
          <w:rFonts w:hint="default" w:ascii="Times New Roman" w:hAnsi="Times New Roman" w:eastAsia="仿宋" w:cs="Times New Roman"/>
          <w:sz w:val="24"/>
        </w:rPr>
      </w:pPr>
      <w:bookmarkStart w:id="4" w:name="_Toc19515385"/>
      <w:r>
        <w:rPr>
          <w:rFonts w:hint="default" w:ascii="Times New Roman" w:hAnsi="Times New Roman" w:eastAsia="仿宋" w:cs="Times New Roman"/>
          <w:sz w:val="24"/>
        </w:rPr>
        <w:t>二、合同价款</w:t>
      </w:r>
      <w:bookmarkEnd w:id="4"/>
    </w:p>
    <w:p w14:paraId="08A1AEF3">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1、合同总价：本</w:t>
      </w:r>
      <w:r>
        <w:rPr>
          <w:rFonts w:hint="default" w:ascii="Times New Roman" w:hAnsi="Times New Roman" w:eastAsia="仿宋" w:cs="Times New Roman"/>
          <w:sz w:val="24"/>
          <w:lang w:val="en-US" w:eastAsia="zh-CN"/>
        </w:rPr>
        <w:t>合同款项金额</w:t>
      </w:r>
      <w:r>
        <w:rPr>
          <w:rFonts w:hint="default" w:ascii="Times New Roman" w:hAnsi="Times New Roman" w:eastAsia="仿宋" w:cs="Times New Roman"/>
          <w:sz w:val="24"/>
        </w:rPr>
        <w:t>：</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万元</w:t>
      </w:r>
    </w:p>
    <w:p w14:paraId="13EA1D8E">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2、合同总价包括：货物费、运杂费、配送费、税费等为完成本项目所需的一切费用。</w:t>
      </w:r>
    </w:p>
    <w:p w14:paraId="71C69DDA">
      <w:pPr>
        <w:adjustRightInd w:val="0"/>
        <w:snapToGrid w:val="0"/>
        <w:spacing w:line="360" w:lineRule="auto"/>
        <w:ind w:firstLine="480" w:firstLineChars="200"/>
        <w:rPr>
          <w:rFonts w:hint="default" w:ascii="Times New Roman" w:hAnsi="Times New Roman" w:eastAsia="仿宋" w:cs="Times New Roman"/>
        </w:rPr>
      </w:pPr>
      <w:r>
        <w:rPr>
          <w:rFonts w:hint="default" w:ascii="Times New Roman" w:hAnsi="Times New Roman" w:eastAsia="仿宋" w:cs="Times New Roman"/>
          <w:sz w:val="24"/>
          <w:lang w:val="en-US" w:eastAsia="zh-CN"/>
        </w:rPr>
        <w:t>3、本合同为总价包死合同。</w:t>
      </w:r>
    </w:p>
    <w:p w14:paraId="70933978">
      <w:pPr>
        <w:adjustRightInd w:val="0"/>
        <w:snapToGrid w:val="0"/>
        <w:spacing w:line="360" w:lineRule="auto"/>
        <w:ind w:firstLine="480" w:firstLineChars="200"/>
        <w:rPr>
          <w:rFonts w:hint="default" w:ascii="Times New Roman" w:hAnsi="Times New Roman" w:eastAsia="仿宋" w:cs="Times New Roman"/>
          <w:sz w:val="24"/>
        </w:rPr>
      </w:pPr>
      <w:bookmarkStart w:id="5" w:name="_Toc19515386"/>
      <w:r>
        <w:rPr>
          <w:rFonts w:hint="default" w:ascii="Times New Roman" w:hAnsi="Times New Roman" w:eastAsia="仿宋" w:cs="Times New Roman"/>
          <w:sz w:val="24"/>
        </w:rPr>
        <w:t>三、合同结算</w:t>
      </w:r>
      <w:bookmarkEnd w:id="5"/>
    </w:p>
    <w:p w14:paraId="5F6C4F6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1、付款比例：合同签订后，乙方项目组人员到场、所有货物到达甲方指定地点后，同时收到乙方开具的正式等额增值税发票后，</w:t>
      </w:r>
      <w:r>
        <w:rPr>
          <w:rFonts w:hint="eastAsia" w:eastAsia="仿宋" w:cs="Times New Roman"/>
          <w:sz w:val="24"/>
          <w:lang w:val="en-US" w:eastAsia="zh-CN"/>
        </w:rPr>
        <w:t>10个工作日内</w:t>
      </w:r>
      <w:r>
        <w:rPr>
          <w:rFonts w:hint="default" w:ascii="Times New Roman" w:hAnsi="Times New Roman" w:eastAsia="仿宋" w:cs="Times New Roman"/>
          <w:sz w:val="24"/>
        </w:rPr>
        <w:t>支付本项目签约合同价款的40%作为本项目预付款（如遇到假期，双方协商后顺延支付），所有货物安装到甲方指定位置且调试合格，施工完成经甲方验收合格并经结算审计，甲方收到乙方开具的等额正式等额增值税发票后，</w:t>
      </w:r>
      <w:r>
        <w:rPr>
          <w:rFonts w:hint="eastAsia" w:eastAsia="仿宋" w:cs="Times New Roman"/>
          <w:sz w:val="24"/>
          <w:lang w:val="en-US" w:eastAsia="zh-CN"/>
        </w:rPr>
        <w:t>10个工作日内</w:t>
      </w:r>
      <w:r>
        <w:rPr>
          <w:rFonts w:hint="default" w:ascii="Times New Roman" w:hAnsi="Times New Roman" w:eastAsia="仿宋" w:cs="Times New Roman"/>
          <w:sz w:val="24"/>
        </w:rPr>
        <w:t>向乙方支付项目合同金额的60%。</w:t>
      </w:r>
    </w:p>
    <w:p w14:paraId="7B06046A">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2、结算方式：银行转账。供货方向采购方提供按实际付款额开具的国家正式税务发票。</w:t>
      </w:r>
      <w:bookmarkStart w:id="6" w:name="_Toc19515393"/>
    </w:p>
    <w:p w14:paraId="5C82D2BC">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四、</w:t>
      </w:r>
      <w:r>
        <w:rPr>
          <w:rFonts w:hint="default" w:ascii="Times New Roman" w:hAnsi="Times New Roman" w:eastAsia="仿宋" w:cs="Times New Roman"/>
          <w:sz w:val="24"/>
        </w:rPr>
        <w:t>售后服务</w:t>
      </w:r>
    </w:p>
    <w:p w14:paraId="3560818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1、</w:t>
      </w:r>
      <w:r>
        <w:rPr>
          <w:rFonts w:hint="default" w:ascii="Times New Roman" w:hAnsi="Times New Roman" w:eastAsia="仿宋" w:cs="Times New Roman"/>
          <w:sz w:val="24"/>
        </w:rPr>
        <w:t>乙方在接到甲方电话通知后在</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小时内派出合格的服务人员到达现场进行服务，承担相应费用。</w:t>
      </w:r>
    </w:p>
    <w:p w14:paraId="2BC25B0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2、如果乙方在收到通知后两天内没有弥补缺陷，甲方可采取必要的补救措施，但其风险和费用将由乙方承担，甲方根据合同规定对乙方行使的其它权力不受影响。</w:t>
      </w:r>
    </w:p>
    <w:p w14:paraId="2137FC81">
      <w:pPr>
        <w:adjustRightInd w:val="0"/>
        <w:snapToGrid w:val="0"/>
        <w:spacing w:line="360" w:lineRule="auto"/>
        <w:ind w:firstLine="480" w:firstLineChars="200"/>
        <w:rPr>
          <w:rFonts w:hint="default" w:ascii="Times New Roman" w:hAnsi="Times New Roman" w:eastAsia="仿宋" w:cs="Times New Roman"/>
          <w:sz w:val="24"/>
          <w:lang w:val="en-US" w:eastAsia="zh-CN"/>
        </w:rPr>
      </w:pPr>
      <w:r>
        <w:rPr>
          <w:rFonts w:hint="eastAsia" w:eastAsia="仿宋" w:cs="Times New Roman"/>
          <w:sz w:val="24"/>
          <w:lang w:val="en-US" w:eastAsia="zh-CN"/>
        </w:rPr>
        <w:t>3、质保期：</w:t>
      </w:r>
    </w:p>
    <w:p w14:paraId="22054989">
      <w:pPr>
        <w:adjustRightInd w:val="0"/>
        <w:snapToGrid w:val="0"/>
        <w:spacing w:line="360" w:lineRule="auto"/>
        <w:ind w:firstLine="480" w:firstLineChars="200"/>
        <w:rPr>
          <w:rFonts w:hint="default" w:ascii="Times New Roman" w:hAnsi="Times New Roman" w:eastAsia="仿宋" w:cs="Times New Roman"/>
          <w:sz w:val="24"/>
          <w:lang w:val="en-US" w:eastAsia="zh-CN"/>
        </w:rPr>
      </w:pPr>
      <w:r>
        <w:rPr>
          <w:rFonts w:hint="eastAsia" w:eastAsia="仿宋" w:cs="Times New Roman"/>
          <w:sz w:val="24"/>
          <w:lang w:val="en-US" w:eastAsia="zh-CN"/>
        </w:rPr>
        <w:t>4</w:t>
      </w:r>
      <w:r>
        <w:rPr>
          <w:rFonts w:hint="default" w:ascii="Times New Roman" w:hAnsi="Times New Roman" w:eastAsia="仿宋" w:cs="Times New Roman"/>
          <w:sz w:val="24"/>
          <w:lang w:val="en-US" w:eastAsia="zh-CN"/>
        </w:rPr>
        <w:t>、其他乙方响应的售后方案。</w:t>
      </w:r>
    </w:p>
    <w:p w14:paraId="3F4AEC1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五、交货</w:t>
      </w:r>
    </w:p>
    <w:p w14:paraId="692F46B7">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w:t>
      </w:r>
      <w:r>
        <w:rPr>
          <w:rFonts w:hint="default" w:ascii="Times New Roman" w:hAnsi="Times New Roman" w:eastAsia="仿宋" w:cs="Times New Roman"/>
          <w:sz w:val="24"/>
          <w:lang w:val="en-US" w:eastAsia="zh-CN"/>
        </w:rPr>
        <w:t>交货</w:t>
      </w:r>
      <w:r>
        <w:rPr>
          <w:rFonts w:hint="default" w:ascii="Times New Roman" w:hAnsi="Times New Roman" w:eastAsia="仿宋" w:cs="Times New Roman"/>
          <w:sz w:val="24"/>
        </w:rPr>
        <w:t>周期：</w:t>
      </w:r>
    </w:p>
    <w:p w14:paraId="0AEC7EEB">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2</w:t>
      </w:r>
      <w:r>
        <w:rPr>
          <w:rFonts w:hint="default" w:ascii="Times New Roman" w:hAnsi="Times New Roman" w:eastAsia="仿宋" w:cs="Times New Roman"/>
          <w:sz w:val="24"/>
        </w:rPr>
        <w:t>、交货地点：采购方指定地点。</w:t>
      </w:r>
    </w:p>
    <w:p w14:paraId="3F6ADC4C">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六、检验与验收</w:t>
      </w:r>
    </w:p>
    <w:p w14:paraId="3A5803D5">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1、验收：乙方完成</w:t>
      </w:r>
      <w:r>
        <w:rPr>
          <w:rFonts w:hint="default" w:ascii="Times New Roman" w:hAnsi="Times New Roman" w:eastAsia="仿宋" w:cs="Times New Roman"/>
          <w:sz w:val="24"/>
          <w:lang w:val="en-US" w:eastAsia="zh-CN"/>
        </w:rPr>
        <w:t>供货</w:t>
      </w:r>
      <w:r>
        <w:rPr>
          <w:rFonts w:hint="default" w:ascii="Times New Roman" w:hAnsi="Times New Roman" w:eastAsia="仿宋" w:cs="Times New Roman"/>
          <w:sz w:val="24"/>
        </w:rPr>
        <w:t>内容后，向甲方提出验收申请，甲方接到乙方验收申请后组织验收（必要时可聘请相应专家或委托相应部门验收），验收合格后，出具使用验收合格证明。</w:t>
      </w:r>
    </w:p>
    <w:p w14:paraId="1351CFB6">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2、最终验收：最终验收结果作为付款依据，乙方填写验收单，并向甲方提交实施过程中的所有资料，以便甲方日后管理和维护。</w:t>
      </w:r>
    </w:p>
    <w:p w14:paraId="06A6706A">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3、质保期满后：由乙方出具质保期运行质量报告，若存在质量问题，应按相应规定协商处理。</w:t>
      </w:r>
    </w:p>
    <w:p w14:paraId="36A74C93">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4、验收依据：</w:t>
      </w:r>
    </w:p>
    <w:p w14:paraId="675B81DD">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4-1、合同文本、合同附件、招标文件、投标文件。</w:t>
      </w:r>
    </w:p>
    <w:p w14:paraId="025C7404">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4-2、国内相应的标准、规范。</w:t>
      </w:r>
    </w:p>
    <w:p w14:paraId="0364344D">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3招标文件；</w:t>
      </w:r>
    </w:p>
    <w:p w14:paraId="3C20E408">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4乙方投标文件及服务承诺。</w:t>
      </w:r>
    </w:p>
    <w:p w14:paraId="453A0E7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七</w:t>
      </w:r>
      <w:r>
        <w:rPr>
          <w:rFonts w:hint="default" w:ascii="Times New Roman" w:hAnsi="Times New Roman" w:eastAsia="仿宋" w:cs="Times New Roman"/>
          <w:sz w:val="24"/>
        </w:rPr>
        <w:t>、违约责任</w:t>
      </w:r>
    </w:p>
    <w:p w14:paraId="50B3D4E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1、按《中华人民共和国民法典》中的相关条款执行。</w:t>
      </w:r>
    </w:p>
    <w:p w14:paraId="41A5D0A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2、乙方履约延误</w:t>
      </w:r>
    </w:p>
    <w:p w14:paraId="30EBEA98">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2-1、如乙方事先未征得甲方同意并得到甲方的谅解而单方面延迟执行合同，将按违约终止合同。</w:t>
      </w:r>
    </w:p>
    <w:p w14:paraId="1791BE2F">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w:t>
      </w:r>
      <w:r>
        <w:rPr>
          <w:rFonts w:hint="default" w:ascii="Times New Roman" w:hAnsi="Times New Roman" w:eastAsia="仿宋" w:cs="Times New Roman"/>
          <w:sz w:val="24"/>
          <w:lang w:val="en-US" w:eastAsia="zh-CN"/>
        </w:rPr>
        <w:t>三</w:t>
      </w: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3</w:t>
      </w:r>
      <w:r>
        <w:rPr>
          <w:rFonts w:hint="default" w:ascii="Times New Roman" w:hAnsi="Times New Roman" w:eastAsia="仿宋" w:cs="Times New Roman"/>
          <w:sz w:val="24"/>
        </w:rPr>
        <w:t>%）计收，直至提供服务为止。误期赔偿费的最高限额为合同价格的百分之</w:t>
      </w:r>
      <w:r>
        <w:rPr>
          <w:rFonts w:hint="default" w:ascii="Times New Roman" w:hAnsi="Times New Roman" w:eastAsia="仿宋" w:cs="Times New Roman"/>
          <w:sz w:val="24"/>
          <w:lang w:val="en-US" w:eastAsia="zh-CN"/>
        </w:rPr>
        <w:t>三十</w:t>
      </w: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30</w:t>
      </w:r>
      <w:r>
        <w:rPr>
          <w:rFonts w:hint="default" w:ascii="Times New Roman" w:hAnsi="Times New Roman" w:eastAsia="仿宋" w:cs="Times New Roman"/>
          <w:sz w:val="24"/>
        </w:rPr>
        <w:t>%）。一旦达到误期赔偿费的最高限额，甲方可终止合同。</w:t>
      </w:r>
    </w:p>
    <w:p w14:paraId="2C88385B">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3、违约终止合同：未按合同要求提供服务或不能满足技术要求，甲方会同监督机构有权终止合同，对乙方违约行为进行追究，同时按政府采购法的有关规定进行相应的处罚。</w:t>
      </w:r>
    </w:p>
    <w:p w14:paraId="0EE5ACB9">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八</w:t>
      </w:r>
      <w:r>
        <w:rPr>
          <w:rFonts w:hint="default" w:ascii="Times New Roman" w:hAnsi="Times New Roman" w:eastAsia="仿宋" w:cs="Times New Roman"/>
          <w:sz w:val="24"/>
        </w:rPr>
        <w:t>、合同组成</w:t>
      </w:r>
      <w:bookmarkEnd w:id="6"/>
    </w:p>
    <w:p w14:paraId="59D9F928">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1、中标通知书</w:t>
      </w:r>
    </w:p>
    <w:p w14:paraId="245BD3F6">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2、合同文件</w:t>
      </w:r>
    </w:p>
    <w:p w14:paraId="537A0A2D">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3、国家相关规范及标准</w:t>
      </w:r>
    </w:p>
    <w:p w14:paraId="61405D02">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4、招标文件</w:t>
      </w:r>
    </w:p>
    <w:p w14:paraId="60B3B3AE">
      <w:pPr>
        <w:adjustRightInd w:val="0"/>
        <w:snapToGrid w:val="0"/>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5、投标文件</w:t>
      </w:r>
    </w:p>
    <w:p w14:paraId="1B7D9D9E">
      <w:pPr>
        <w:adjustRightInd w:val="0"/>
        <w:snapToGrid w:val="0"/>
        <w:spacing w:line="360" w:lineRule="auto"/>
        <w:ind w:firstLine="480" w:firstLineChars="200"/>
        <w:rPr>
          <w:rFonts w:hint="default" w:ascii="Times New Roman" w:hAnsi="Times New Roman" w:eastAsia="仿宋" w:cs="Times New Roman"/>
          <w:sz w:val="24"/>
        </w:rPr>
      </w:pPr>
      <w:bookmarkStart w:id="7" w:name="_Toc19515394"/>
      <w:r>
        <w:rPr>
          <w:rFonts w:hint="default" w:ascii="Times New Roman" w:hAnsi="Times New Roman" w:eastAsia="仿宋" w:cs="Times New Roman"/>
          <w:sz w:val="24"/>
          <w:lang w:val="en-US" w:eastAsia="zh-CN"/>
        </w:rPr>
        <w:t>九</w:t>
      </w:r>
      <w:r>
        <w:rPr>
          <w:rFonts w:hint="default" w:ascii="Times New Roman" w:hAnsi="Times New Roman" w:eastAsia="仿宋" w:cs="Times New Roman"/>
          <w:sz w:val="24"/>
        </w:rPr>
        <w:t>、解决争议的方法</w:t>
      </w:r>
      <w:bookmarkEnd w:id="7"/>
    </w:p>
    <w:p w14:paraId="0209A151">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凡因本合同引起的或与本合同有关的争议，双方应友好协商解决。协商不成时，双方均同意采用以下第（  ）种争议解决方式：</w:t>
      </w:r>
    </w:p>
    <w:p w14:paraId="71EF83B9">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1、甲、乙双方均同意向（甲方所在地人民法院）提起诉讼。</w:t>
      </w:r>
    </w:p>
    <w:p w14:paraId="4A6390A8">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2、甲、乙双方均同意向（</w:t>
      </w:r>
      <w:r>
        <w:rPr>
          <w:rFonts w:hint="default" w:ascii="Times New Roman" w:hAnsi="Times New Roman" w:eastAsia="仿宋" w:cs="Times New Roman"/>
          <w:kern w:val="0"/>
          <w:sz w:val="24"/>
        </w:rPr>
        <w:fldChar w:fldCharType="begin"/>
      </w:r>
      <w:r>
        <w:rPr>
          <w:rFonts w:hint="default" w:ascii="Times New Roman" w:hAnsi="Times New Roman" w:eastAsia="仿宋" w:cs="Times New Roman"/>
          <w:kern w:val="0"/>
          <w:sz w:val="24"/>
        </w:rPr>
        <w:instrText xml:space="preserve"> HYPERLINK "http://www.baidu.com/s?wd=%E4%BB%B2%E8%A3%81%E5%A7%94%E5%91%98%E4%BC%9A&amp;tn=SE_PcZhidaonwhc_ngpagmjz&amp;rsv_dl=gh_pc_zhidao" \t "_blank" </w:instrText>
      </w:r>
      <w:r>
        <w:rPr>
          <w:rFonts w:hint="default" w:ascii="Times New Roman" w:hAnsi="Times New Roman" w:eastAsia="仿宋" w:cs="Times New Roman"/>
          <w:kern w:val="0"/>
          <w:sz w:val="24"/>
        </w:rPr>
        <w:fldChar w:fldCharType="separate"/>
      </w:r>
      <w:r>
        <w:rPr>
          <w:rFonts w:hint="default" w:ascii="Times New Roman" w:hAnsi="Times New Roman" w:eastAsia="仿宋" w:cs="Times New Roman"/>
          <w:kern w:val="0"/>
          <w:sz w:val="24"/>
        </w:rPr>
        <w:t>仲裁委员会</w:t>
      </w:r>
      <w:r>
        <w:rPr>
          <w:rFonts w:hint="default" w:ascii="Times New Roman" w:hAnsi="Times New Roman" w:eastAsia="仿宋" w:cs="Times New Roman"/>
          <w:kern w:val="0"/>
          <w:sz w:val="24"/>
        </w:rPr>
        <w:fldChar w:fldCharType="end"/>
      </w:r>
      <w:r>
        <w:rPr>
          <w:rFonts w:hint="default" w:ascii="Times New Roman" w:hAnsi="Times New Roman" w:eastAsia="仿宋" w:cs="Times New Roman"/>
          <w:kern w:val="0"/>
          <w:sz w:val="24"/>
        </w:rPr>
        <w:t>）提起仲裁。</w:t>
      </w:r>
    </w:p>
    <w:p w14:paraId="0D3BBECD">
      <w:pPr>
        <w:adjustRightInd w:val="0"/>
        <w:snapToGrid w:val="0"/>
        <w:spacing w:line="360" w:lineRule="auto"/>
        <w:ind w:firstLine="480" w:firstLineChars="200"/>
        <w:rPr>
          <w:rFonts w:hint="default" w:ascii="Times New Roman" w:hAnsi="Times New Roman" w:eastAsia="仿宋" w:cs="Times New Roman"/>
          <w:sz w:val="24"/>
        </w:rPr>
      </w:pPr>
      <w:bookmarkStart w:id="8" w:name="_Toc19515395"/>
      <w:r>
        <w:rPr>
          <w:rFonts w:hint="default" w:ascii="Times New Roman" w:hAnsi="Times New Roman" w:eastAsia="仿宋" w:cs="Times New Roman"/>
          <w:sz w:val="24"/>
        </w:rPr>
        <w:t>十、合同生效及其它</w:t>
      </w:r>
      <w:bookmarkEnd w:id="8"/>
    </w:p>
    <w:p w14:paraId="57F4EECB">
      <w:pPr>
        <w:widowControl/>
        <w:autoSpaceDE w:val="0"/>
        <w:autoSpaceDN w:val="0"/>
        <w:snapToGrid w:val="0"/>
        <w:spacing w:line="360" w:lineRule="auto"/>
        <w:ind w:right="-110"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1、合同未尽事宜、由甲、乙双方协商，作为合同补充，与原合同具有同等法律效力。</w:t>
      </w:r>
    </w:p>
    <w:p w14:paraId="1D144A67">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2、 本合同正本一式</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份，甲方、乙方双方分别执</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份，</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备案</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份。</w:t>
      </w:r>
    </w:p>
    <w:p w14:paraId="73909860">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3、合同经甲乙双方盖章、签字后生效，合同签订地点为</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w:t>
      </w:r>
    </w:p>
    <w:p w14:paraId="13850EC1">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4、生效时间：</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年</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月</w:t>
      </w:r>
      <w:r>
        <w:rPr>
          <w:rFonts w:hint="default" w:ascii="Times New Roman" w:hAnsi="Times New Roman" w:eastAsia="仿宋" w:cs="Times New Roman"/>
          <w:kern w:val="0"/>
          <w:sz w:val="24"/>
          <w:u w:val="single"/>
        </w:rPr>
        <w:t xml:space="preserve">  </w:t>
      </w:r>
      <w:r>
        <w:rPr>
          <w:rFonts w:hint="default" w:ascii="Times New Roman" w:hAnsi="Times New Roman" w:eastAsia="仿宋" w:cs="Times New Roman"/>
          <w:kern w:val="0"/>
          <w:sz w:val="24"/>
        </w:rPr>
        <w:t>日</w:t>
      </w:r>
    </w:p>
    <w:p w14:paraId="6E8B696A">
      <w:pPr>
        <w:widowControl/>
        <w:tabs>
          <w:tab w:val="left" w:pos="8391"/>
        </w:tabs>
        <w:autoSpaceDE w:val="0"/>
        <w:autoSpaceDN w:val="0"/>
        <w:snapToGrid w:val="0"/>
        <w:spacing w:line="360" w:lineRule="auto"/>
        <w:ind w:right="-69" w:firstLine="840" w:firstLineChars="350"/>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br w:type="page"/>
      </w:r>
    </w:p>
    <w:tbl>
      <w:tblPr>
        <w:tblStyle w:val="5"/>
        <w:tblW w:w="9286" w:type="dxa"/>
        <w:jc w:val="center"/>
        <w:tblLayout w:type="fixed"/>
        <w:tblCellMar>
          <w:top w:w="0" w:type="dxa"/>
          <w:left w:w="108" w:type="dxa"/>
          <w:bottom w:w="0" w:type="dxa"/>
          <w:right w:w="108" w:type="dxa"/>
        </w:tblCellMar>
      </w:tblPr>
      <w:tblGrid>
        <w:gridCol w:w="4643"/>
        <w:gridCol w:w="4643"/>
      </w:tblGrid>
      <w:tr w14:paraId="60C890B5">
        <w:tblPrEx>
          <w:tblCellMar>
            <w:top w:w="0" w:type="dxa"/>
            <w:left w:w="108" w:type="dxa"/>
            <w:bottom w:w="0" w:type="dxa"/>
            <w:right w:w="108" w:type="dxa"/>
          </w:tblCellMar>
        </w:tblPrEx>
        <w:trPr>
          <w:jc w:val="center"/>
        </w:trPr>
        <w:tc>
          <w:tcPr>
            <w:tcW w:w="4643" w:type="dxa"/>
            <w:noWrap w:val="0"/>
            <w:vAlign w:val="top"/>
          </w:tcPr>
          <w:p w14:paraId="31A98490">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甲方名称</w:t>
            </w:r>
            <w:r>
              <w:rPr>
                <w:rFonts w:hint="default" w:ascii="Times New Roman" w:hAnsi="Times New Roman" w:eastAsia="仿宋" w:cs="Times New Roman"/>
                <w:spacing w:val="-20"/>
                <w:kern w:val="0"/>
                <w:sz w:val="24"/>
              </w:rPr>
              <w:t>（盖章）</w:t>
            </w:r>
            <w:r>
              <w:rPr>
                <w:rFonts w:hint="default" w:ascii="Times New Roman" w:hAnsi="Times New Roman" w:eastAsia="仿宋" w:cs="Times New Roman"/>
                <w:kern w:val="0"/>
                <w:sz w:val="24"/>
              </w:rPr>
              <w:t>:</w:t>
            </w:r>
          </w:p>
          <w:p w14:paraId="2F8A2C44">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地址：</w:t>
            </w:r>
          </w:p>
          <w:p w14:paraId="4ECDBC37">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代表人（签字）：</w:t>
            </w:r>
          </w:p>
          <w:p w14:paraId="3A1271E9">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电话：</w:t>
            </w:r>
          </w:p>
          <w:p w14:paraId="5DB811EC">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开户银行：</w:t>
            </w:r>
          </w:p>
          <w:p w14:paraId="22794DF1">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账号：</w:t>
            </w:r>
          </w:p>
        </w:tc>
        <w:tc>
          <w:tcPr>
            <w:tcW w:w="4643" w:type="dxa"/>
            <w:noWrap w:val="0"/>
            <w:vAlign w:val="top"/>
          </w:tcPr>
          <w:p w14:paraId="74D7945B">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乙方名称</w:t>
            </w:r>
            <w:r>
              <w:rPr>
                <w:rFonts w:hint="default" w:ascii="Times New Roman" w:hAnsi="Times New Roman" w:eastAsia="仿宋" w:cs="Times New Roman"/>
                <w:spacing w:val="-20"/>
                <w:kern w:val="0"/>
                <w:sz w:val="24"/>
              </w:rPr>
              <w:t>（盖章）</w:t>
            </w:r>
            <w:r>
              <w:rPr>
                <w:rFonts w:hint="default" w:ascii="Times New Roman" w:hAnsi="Times New Roman" w:eastAsia="仿宋" w:cs="Times New Roman"/>
                <w:kern w:val="0"/>
                <w:sz w:val="24"/>
              </w:rPr>
              <w:t>:</w:t>
            </w:r>
          </w:p>
          <w:p w14:paraId="6A93C15C">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地址：</w:t>
            </w:r>
          </w:p>
          <w:p w14:paraId="3040BA50">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代表人（签字）：</w:t>
            </w:r>
          </w:p>
          <w:p w14:paraId="7FE7B42C">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电话：</w:t>
            </w:r>
          </w:p>
          <w:p w14:paraId="3F522FED">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开户银行：</w:t>
            </w:r>
          </w:p>
          <w:p w14:paraId="2D1C2286">
            <w:pPr>
              <w:widowControl/>
              <w:autoSpaceDE w:val="0"/>
              <w:autoSpaceDN w:val="0"/>
              <w:snapToGrid w:val="0"/>
              <w:spacing w:line="360" w:lineRule="auto"/>
              <w:ind w:right="-154"/>
              <w:textAlignment w:val="bottom"/>
              <w:rPr>
                <w:rFonts w:hint="default" w:ascii="Times New Roman" w:hAnsi="Times New Roman" w:eastAsia="仿宋" w:cs="Times New Roman"/>
                <w:kern w:val="0"/>
                <w:sz w:val="24"/>
              </w:rPr>
            </w:pPr>
            <w:r>
              <w:rPr>
                <w:rFonts w:hint="default" w:ascii="Times New Roman" w:hAnsi="Times New Roman" w:eastAsia="仿宋" w:cs="Times New Roman"/>
                <w:kern w:val="0"/>
                <w:sz w:val="24"/>
              </w:rPr>
              <w:t>账号：</w:t>
            </w:r>
          </w:p>
        </w:tc>
      </w:tr>
    </w:tbl>
    <w:p w14:paraId="19B05A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AABF0"/>
    <w:multiLevelType w:val="singleLevel"/>
    <w:tmpl w:val="093AABF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854DA"/>
    <w:rsid w:val="0CF854DA"/>
    <w:rsid w:val="15C1055D"/>
    <w:rsid w:val="247B62F4"/>
    <w:rsid w:val="58AC6D4C"/>
    <w:rsid w:val="601D4F28"/>
    <w:rsid w:val="70E66A39"/>
    <w:rsid w:val="73D5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567"/>
      </w:tabs>
      <w:spacing w:before="120" w:line="22" w:lineRule="atLeast"/>
    </w:pPr>
    <w:rPr>
      <w:rFonts w:ascii="宋体" w:hAnsi="宋体"/>
      <w:sz w:val="24"/>
    </w:rPr>
  </w:style>
  <w:style w:type="character" w:customStyle="1" w:styleId="7">
    <w:name w:val="标题 1 字符"/>
    <w:link w:val="2"/>
    <w:qFormat/>
    <w:uiPriority w:val="0"/>
    <w:rPr>
      <w:rFonts w:asciiTheme="minorAscii" w:hAnsiTheme="minorAscii"/>
      <w:b/>
      <w:kern w:val="44"/>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1474</Words>
  <Characters>1498</Characters>
  <Lines>0</Lines>
  <Paragraphs>0</Paragraphs>
  <TotalTime>1</TotalTime>
  <ScaleCrop>false</ScaleCrop>
  <LinksUpToDate>false</LinksUpToDate>
  <CharactersWithSpaces>1540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2025-07-23T09:41:00Z</dcterms:created>
  <dc:creator>℡Autism ミ</dc:creator>
  <cp:lastModifiedBy>℡Autism ミ</cp:lastModifiedBy>
  <dcterms:modified xsi:type="dcterms:W3CDTF">2026-09-03T07:50:25Z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28B1DE702CD142B4901DF435E9DE935F_11</vt:lpwstr>
  </property>
  <property fmtid="{D5CDD505-2E9C-101B-9397-08002B2CF9AE}" pid="4" name="KSOTemplateDocerSaveRecord">
    <vt:lpwstr>eyJoZGlkIjoiNWU2YTZhNDE5MGJhZjFhODFmOGIyNjJkYzllZjk1NmMiLCJ1c2VySWQiOiIzODE5MDc1NjQifQ==</vt:lpwstr>
  </property>
</Properties>
</file>