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版本号：ZBY202603320260513001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碑林区图书馆2026年运营服务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ZBY2026033</w:t>
      </w:r>
      <w:r>
        <w:br/>
      </w:r>
      <w:r>
        <w:br/>
      </w:r>
      <w:r>
        <w:br/>
      </w:r>
    </w:p>
    <w:p>
      <w:pPr>
        <w:pStyle w:val="null3"/>
        <w:jc w:val="center"/>
        <w:outlineLvl w:val="2"/>
      </w:pPr>
      <w:r>
        <w:rPr>
          <w:rFonts w:ascii="仿宋_GB2312" w:hAnsi="仿宋_GB2312" w:cs="仿宋_GB2312" w:eastAsia="仿宋_GB2312"/>
          <w:sz w:val="28"/>
          <w:b/>
        </w:rPr>
        <w:t>西安市碑林区图书馆</w:t>
      </w:r>
    </w:p>
    <w:p>
      <w:pPr>
        <w:pStyle w:val="null3"/>
        <w:jc w:val="center"/>
        <w:outlineLvl w:val="2"/>
      </w:pPr>
      <w:r>
        <w:rPr>
          <w:rFonts w:ascii="仿宋_GB2312" w:hAnsi="仿宋_GB2312" w:cs="仿宋_GB2312" w:eastAsia="仿宋_GB2312"/>
          <w:sz w:val="28"/>
          <w:b/>
        </w:rPr>
        <w:t>西安中保研招标有限公司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西安中保研招标有限公司</w:t>
      </w:r>
      <w:r>
        <w:rPr>
          <w:rFonts w:ascii="仿宋_GB2312" w:hAnsi="仿宋_GB2312" w:cs="仿宋_GB2312" w:eastAsia="仿宋_GB2312"/>
        </w:rPr>
        <w:t>（以下简称“代理机构”）受</w:t>
      </w:r>
      <w:r>
        <w:rPr>
          <w:rFonts w:ascii="仿宋_GB2312" w:hAnsi="仿宋_GB2312" w:cs="仿宋_GB2312" w:eastAsia="仿宋_GB2312"/>
        </w:rPr>
        <w:t>西安市碑林区图书馆</w:t>
      </w:r>
      <w:r>
        <w:rPr>
          <w:rFonts w:ascii="仿宋_GB2312" w:hAnsi="仿宋_GB2312" w:cs="仿宋_GB2312" w:eastAsia="仿宋_GB2312"/>
        </w:rPr>
        <w:t>委托，拟对</w:t>
      </w:r>
      <w:r>
        <w:rPr>
          <w:rFonts w:ascii="仿宋_GB2312" w:hAnsi="仿宋_GB2312" w:cs="仿宋_GB2312" w:eastAsia="仿宋_GB2312"/>
        </w:rPr>
        <w:t>碑林区图书馆2026年运营服务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ZBY2026033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碑林区图书馆2026年运营服务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中华人民共和国公共文化服务保障法》、《中华人民共和国公共图书馆法》、《陕西省公共文化服务保障条例》，全面提升图书馆的公共服务水平和效率、规范化发展；保障广大市民享受均等的公共文化服务权益；做好文献资源管理、参考咨询服务、数字资源建设与服务、地方文献收集整理保存、特色化阅读推广活动、品牌建设与宣传、新媒体运营、空间环境整体规划、团队建设及培训考核、总分馆体系建设与运营、技术维护及安全保障等全流程运营服务，完成创建全国公共图书馆县级一级馆目标任务，坚持专业化、精细化管理，以实现碑林区图书馆各功能区域按时、按质、按量高效运行。服务标准需符合国家及行业验收标准。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采购包1（碑林区图书馆2026年运营服务）：属于专门面向中小企业采购。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授权代表：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p>
      <w:pPr>
        <w:pStyle w:val="null3"/>
      </w:pPr>
      <w:r>
        <w:rPr>
          <w:rFonts w:ascii="仿宋_GB2312" w:hAnsi="仿宋_GB2312" w:cs="仿宋_GB2312" w:eastAsia="仿宋_GB2312"/>
        </w:rPr>
        <w:t>3、是否接受联合体投标：本项目不接受联合体投标。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西安市碑林区乐居场58号（碑林区三馆一中心）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029-87222355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西安中保研招标有限公司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陕西省西安市新城区金花新都汇写字楼A座7楼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李创、朱小翠、杨丹、孙桐、聂俊丽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13772150019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按成交金额作为收费的计算基数，收取标准参照国家计委颁发的《招标代理服务收费管理暂行办法》（计价格[2002]1980号）和《关于招标代理服务收费有关问题的通知》（发改办价格[2003] 857号）的收费标准收取。 注：招标代理服务费在缴付时需备注xxxx项目简称招标代理服务费。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西安市碑林区图书馆</w:t>
      </w:r>
      <w:r>
        <w:rPr>
          <w:rFonts w:ascii="仿宋_GB2312" w:hAnsi="仿宋_GB2312" w:cs="仿宋_GB2312" w:eastAsia="仿宋_GB2312"/>
        </w:rPr>
        <w:t>和</w:t>
      </w:r>
      <w:r>
        <w:rPr>
          <w:rFonts w:ascii="仿宋_GB2312" w:hAnsi="仿宋_GB2312" w:cs="仿宋_GB2312" w:eastAsia="仿宋_GB2312"/>
        </w:rPr>
        <w:t>西安中保研招标有限公司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西安中保研招标有限公司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西安中保研招标有限公司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联系人：文件复核办公室</w:t>
      </w:r>
    </w:p>
    <w:p>
      <w:pPr>
        <w:pStyle w:val="null3"/>
      </w:pPr>
      <w:r>
        <w:rPr>
          <w:rFonts w:ascii="仿宋_GB2312" w:hAnsi="仿宋_GB2312" w:cs="仿宋_GB2312" w:eastAsia="仿宋_GB2312"/>
        </w:rPr>
        <w:t>联系电话：13772150019</w:t>
      </w:r>
    </w:p>
    <w:p>
      <w:pPr>
        <w:pStyle w:val="null3"/>
      </w:pPr>
      <w:r>
        <w:rPr>
          <w:rFonts w:ascii="仿宋_GB2312" w:hAnsi="仿宋_GB2312" w:cs="仿宋_GB2312" w:eastAsia="仿宋_GB2312"/>
        </w:rPr>
        <w:t>地址：陕西省西安市新城区金花新都汇写字楼A座7楼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华人民共和国公共文化服务保障法》、《中华人民共和国公共图书馆法》、《陕西省公共文化服务保障条例》，全面提升图书馆的公共服务水平和效率、规范化发展；保障广大市民享受均等的公共文化服务权益；做好文献资源管理、参考咨询服务、数字资源建设与服务、地方文献收集整理保存、特色化阅读推广活动、品牌建设与宣传、新媒体运营、空间环境整体规划、团队建设及培训考核、总分馆体系建设与运营、技术维护及安全保障等全流程运营服务，完成创建全国公共图书馆县级一级馆目标任务，坚持专业化、精细化管理，以实现碑林区图书馆各功能区域按时、按质、按量高效运行。服务标准需符合国家及行业验收标准。详见磋商文件第三章磋商项目技术、服务、商务及其他要求，具体要求以磋商文件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图书馆读者服务 阅读服务 推广宣传 业务运行等整体服务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标的名称：图书馆读者服务 阅读服务 推广宣传 业务运行等整体服务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ind w:firstLine="400"/>
            </w:pPr>
            <w:r>
              <w:rPr>
                <w:rFonts w:ascii="仿宋_GB2312" w:hAnsi="仿宋_GB2312" w:cs="仿宋_GB2312" w:eastAsia="仿宋_GB2312"/>
                <w:sz w:val="24"/>
              </w:rPr>
              <w:t>根据《中华人民共和国公共文化服务保障法》、《中华人民共和国公共图书馆法》、《陕西省公共文化服务保障条例》，全面提升图书馆的公共服务水平和效率、规范化发展；保障广大市民享受均等的公共文化服务权益；做好文献资源管理、参考咨询服务、数字资源建设与服务、地方文献收集整理保存、特色化阅读推广活动、品牌建设与宣传、新媒体运营、空间环境整体规划、团队建设及培训考核、总分馆体系建设与运营、技术维护及安全保障等全流程运营服务，完成创建全国公共图书馆县级一级馆目标任务，坚持专业化、精细化管理，以实现碑林区图书馆各功能区域按时、按质、按量高效运行。服务标准需符合国家及行业验收标准。详见磋商文件第三章磋商项目技术、服务、商务及其他要求，具体要求以磋商文件全部内容为准。</w:t>
            </w:r>
          </w:p>
          <w:p>
            <w:pPr>
              <w:pStyle w:val="null3"/>
            </w:pPr>
            <w:r>
              <w:rPr>
                <w:rFonts w:ascii="仿宋_GB2312" w:hAnsi="仿宋_GB2312" w:cs="仿宋_GB2312" w:eastAsia="仿宋_GB2312"/>
                <w:sz w:val="24"/>
              </w:rPr>
              <w:t>二、服务内容及技术要求</w:t>
            </w:r>
          </w:p>
          <w:p>
            <w:pPr>
              <w:pStyle w:val="null3"/>
              <w:ind w:firstLine="400"/>
            </w:pPr>
            <w:r>
              <w:rPr>
                <w:rFonts w:ascii="仿宋_GB2312" w:hAnsi="仿宋_GB2312" w:cs="仿宋_GB2312" w:eastAsia="仿宋_GB2312"/>
                <w:sz w:val="24"/>
              </w:rPr>
              <w:t>具体要求如下：</w:t>
            </w:r>
          </w:p>
          <w:tbl>
            <w:tblPr>
              <w:tblBorders>
                <w:top w:val="none" w:color="000000" w:sz="4"/>
                <w:left w:val="none" w:color="000000" w:sz="4"/>
                <w:bottom w:val="none" w:color="000000" w:sz="4"/>
                <w:right w:val="none" w:color="000000" w:sz="4"/>
                <w:insideH w:val="none"/>
                <w:insideV w:val="none"/>
              </w:tblBorders>
            </w:tblPr>
            <w:tblGrid>
              <w:gridCol w:w="229"/>
              <w:gridCol w:w="260"/>
              <w:gridCol w:w="425"/>
              <w:gridCol w:w="1556"/>
            </w:tblGrid>
            <w:tr>
              <w:tc>
                <w:tcPr>
                  <w:tcW w:type="dxa" w:w="22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目录</w:t>
                  </w:r>
                </w:p>
              </w:tc>
              <w:tc>
                <w:tcPr>
                  <w:tcW w:type="dxa" w:w="26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w:t>
                  </w:r>
                </w:p>
                <w:p>
                  <w:pPr>
                    <w:pStyle w:val="null3"/>
                    <w:jc w:val="center"/>
                  </w:pPr>
                  <w:r>
                    <w:rPr>
                      <w:rFonts w:ascii="仿宋_GB2312" w:hAnsi="仿宋_GB2312" w:cs="仿宋_GB2312" w:eastAsia="仿宋_GB2312"/>
                      <w:sz w:val="24"/>
                    </w:rPr>
                    <w:t>名称</w:t>
                  </w:r>
                </w:p>
              </w:tc>
              <w:tc>
                <w:tcPr>
                  <w:tcW w:type="dxa" w:w="42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w:t>
                  </w:r>
                </w:p>
                <w:p>
                  <w:pPr>
                    <w:pStyle w:val="null3"/>
                    <w:jc w:val="center"/>
                  </w:pPr>
                  <w:r>
                    <w:rPr>
                      <w:rFonts w:ascii="仿宋_GB2312" w:hAnsi="仿宋_GB2312" w:cs="仿宋_GB2312" w:eastAsia="仿宋_GB2312"/>
                      <w:sz w:val="24"/>
                    </w:rPr>
                    <w:t>内容</w:t>
                  </w:r>
                </w:p>
              </w:tc>
              <w:tc>
                <w:tcPr>
                  <w:tcW w:type="dxa" w:w="155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服务标准要求</w:t>
                  </w:r>
                </w:p>
              </w:tc>
            </w:tr>
            <w:tr>
              <w:tc>
                <w:tcPr>
                  <w:tcW w:type="dxa" w:w="22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01</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基</w:t>
                  </w:r>
                </w:p>
                <w:p>
                  <w:pPr>
                    <w:pStyle w:val="null3"/>
                    <w:jc w:val="center"/>
                  </w:pPr>
                  <w:r>
                    <w:rPr>
                      <w:rFonts w:ascii="仿宋_GB2312" w:hAnsi="仿宋_GB2312" w:cs="仿宋_GB2312" w:eastAsia="仿宋_GB2312"/>
                      <w:sz w:val="24"/>
                    </w:rPr>
                    <w:t>本</w:t>
                  </w:r>
                </w:p>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p>
                  <w:pPr>
                    <w:pStyle w:val="null3"/>
                    <w:jc w:val="center"/>
                  </w:p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开放时间</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保证全年工作日和公休日正常开放，平均每周开放时不少于56小时；周六、日均开放；国家法定节假日有开放时间；寒暑假期间每周不少于60小时。</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服务数据</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1.年总流通人次≥12万；</w:t>
                  </w:r>
                </w:p>
                <w:p>
                  <w:pPr>
                    <w:pStyle w:val="null3"/>
                    <w:jc w:val="both"/>
                  </w:pPr>
                  <w:r>
                    <w:rPr>
                      <w:rFonts w:ascii="仿宋_GB2312" w:hAnsi="仿宋_GB2312" w:cs="仿宋_GB2312" w:eastAsia="仿宋_GB2312"/>
                      <w:sz w:val="24"/>
                    </w:rPr>
                    <w:t>2.年文献外借量≥10万册次；</w:t>
                  </w:r>
                </w:p>
                <w:p>
                  <w:pPr>
                    <w:pStyle w:val="null3"/>
                    <w:jc w:val="both"/>
                  </w:pPr>
                  <w:r>
                    <w:rPr>
                      <w:rFonts w:ascii="仿宋_GB2312" w:hAnsi="仿宋_GB2312" w:cs="仿宋_GB2312" w:eastAsia="仿宋_GB2312"/>
                      <w:sz w:val="24"/>
                    </w:rPr>
                    <w:t>3.年流动服务文献外借量≥3万册次。</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咨询服务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为读者提供专业且全面的咨询服务。</w:t>
                  </w:r>
                </w:p>
                <w:p>
                  <w:pPr>
                    <w:pStyle w:val="null3"/>
                    <w:jc w:val="both"/>
                  </w:pPr>
                  <w:r>
                    <w:rPr>
                      <w:rFonts w:ascii="仿宋_GB2312" w:hAnsi="仿宋_GB2312" w:cs="仿宋_GB2312" w:eastAsia="仿宋_GB2312"/>
                      <w:sz w:val="24"/>
                    </w:rPr>
                    <w:t>普通参考咨询≥1500次；</w:t>
                  </w:r>
                </w:p>
                <w:p>
                  <w:pPr>
                    <w:pStyle w:val="null3"/>
                    <w:jc w:val="both"/>
                  </w:pPr>
                  <w:r>
                    <w:rPr>
                      <w:rFonts w:ascii="仿宋_GB2312" w:hAnsi="仿宋_GB2312" w:cs="仿宋_GB2312" w:eastAsia="仿宋_GB2312"/>
                      <w:sz w:val="24"/>
                    </w:rPr>
                    <w:t>年专题咨询服务数量≥30次；</w:t>
                  </w:r>
                </w:p>
                <w:p>
                  <w:pPr>
                    <w:pStyle w:val="null3"/>
                    <w:jc w:val="both"/>
                  </w:pPr>
                  <w:r>
                    <w:rPr>
                      <w:rFonts w:ascii="仿宋_GB2312" w:hAnsi="仿宋_GB2312" w:cs="仿宋_GB2312" w:eastAsia="仿宋_GB2312"/>
                      <w:sz w:val="24"/>
                    </w:rPr>
                    <w:t>完成“两会”服务工作。</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特殊群体服务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针对不同特殊群体开展专属服务活动，并提供活动报表，包括活动主题、时间、地点、参与人数等：</w:t>
                  </w:r>
                </w:p>
                <w:p>
                  <w:pPr>
                    <w:pStyle w:val="null3"/>
                    <w:jc w:val="both"/>
                  </w:pPr>
                  <w:r>
                    <w:rPr>
                      <w:rFonts w:ascii="仿宋_GB2312" w:hAnsi="仿宋_GB2312" w:cs="仿宋_GB2312" w:eastAsia="仿宋_GB2312"/>
                      <w:sz w:val="24"/>
                    </w:rPr>
                    <w:t>1.未成年人服务：举办内容丰富、形多式样的少儿活动；</w:t>
                  </w:r>
                </w:p>
                <w:p>
                  <w:pPr>
                    <w:pStyle w:val="null3"/>
                    <w:jc w:val="both"/>
                  </w:pPr>
                  <w:r>
                    <w:rPr>
                      <w:rFonts w:ascii="仿宋_GB2312" w:hAnsi="仿宋_GB2312" w:cs="仿宋_GB2312" w:eastAsia="仿宋_GB2312"/>
                      <w:sz w:val="24"/>
                    </w:rPr>
                    <w:t>2.针对老年人每年需举办活动≥5场；</w:t>
                  </w:r>
                </w:p>
                <w:p>
                  <w:pPr>
                    <w:pStyle w:val="null3"/>
                    <w:jc w:val="both"/>
                  </w:pPr>
                  <w:r>
                    <w:rPr>
                      <w:rFonts w:ascii="仿宋_GB2312" w:hAnsi="仿宋_GB2312" w:cs="仿宋_GB2312" w:eastAsia="仿宋_GB2312"/>
                      <w:sz w:val="24"/>
                    </w:rPr>
                    <w:t>针对残障人员开展活动≥2场；</w:t>
                  </w:r>
                </w:p>
                <w:p>
                  <w:pPr>
                    <w:pStyle w:val="null3"/>
                    <w:jc w:val="both"/>
                  </w:pPr>
                  <w:r>
                    <w:rPr>
                      <w:rFonts w:ascii="仿宋_GB2312" w:hAnsi="仿宋_GB2312" w:cs="仿宋_GB2312" w:eastAsia="仿宋_GB2312"/>
                      <w:sz w:val="24"/>
                    </w:rPr>
                    <w:t>进城务工人员等群体活动≥2场；</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流动服务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全年开展流动服务≥12次，涵盖阅读进社区、进机关、进学校、进军营、进企业等多种形式。</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地方文献服务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深度挖掘与整理地方文献资源：</w:t>
                  </w:r>
                </w:p>
                <w:p>
                  <w:pPr>
                    <w:pStyle w:val="null3"/>
                    <w:jc w:val="both"/>
                  </w:pPr>
                  <w:r>
                    <w:rPr>
                      <w:rFonts w:ascii="仿宋_GB2312" w:hAnsi="仿宋_GB2312" w:cs="仿宋_GB2312" w:eastAsia="仿宋_GB2312"/>
                      <w:sz w:val="24"/>
                    </w:rPr>
                    <w:t>1.全面收集方志、史料、谱牒、地方出版物及本地内部资料等并完成入藏；</w:t>
                  </w:r>
                </w:p>
                <w:p>
                  <w:pPr>
                    <w:pStyle w:val="null3"/>
                    <w:jc w:val="both"/>
                  </w:pPr>
                  <w:r>
                    <w:rPr>
                      <w:rFonts w:ascii="仿宋_GB2312" w:hAnsi="仿宋_GB2312" w:cs="仿宋_GB2312" w:eastAsia="仿宋_GB2312"/>
                      <w:sz w:val="24"/>
                    </w:rPr>
                    <w:t>2.对地方文献进行专业编目加工整理；</w:t>
                  </w:r>
                </w:p>
                <w:p>
                  <w:pPr>
                    <w:pStyle w:val="null3"/>
                    <w:jc w:val="both"/>
                  </w:pPr>
                  <w:r>
                    <w:rPr>
                      <w:rFonts w:ascii="仿宋_GB2312" w:hAnsi="仿宋_GB2312" w:cs="仿宋_GB2312" w:eastAsia="仿宋_GB2312"/>
                      <w:sz w:val="24"/>
                    </w:rPr>
                    <w:t>3.建立完善的区地方文献征集机制，年新增地方文献≥600册，推进地方文献数据库建设。</w:t>
                  </w:r>
                </w:p>
              </w:tc>
            </w:tr>
            <w:tr>
              <w:tc>
                <w:tcPr>
                  <w:tcW w:type="dxa" w:w="22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02</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数</w:t>
                  </w:r>
                </w:p>
                <w:p>
                  <w:pPr>
                    <w:pStyle w:val="null3"/>
                    <w:jc w:val="center"/>
                  </w:pPr>
                  <w:r>
                    <w:rPr>
                      <w:rFonts w:ascii="仿宋_GB2312" w:hAnsi="仿宋_GB2312" w:cs="仿宋_GB2312" w:eastAsia="仿宋_GB2312"/>
                      <w:sz w:val="24"/>
                    </w:rPr>
                    <w:t>字</w:t>
                  </w:r>
                </w:p>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新媒体服务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利用图书馆微信公众号、视频号、网站等新媒体平台为用户提供信息推送服务：推送量≥500条以上，年浏览量≥20万。</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数字资源服务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1.协助馆方加强数字资源建设，建立数字资源库，与省、市馆实现平台资源共享；每年更新自建数字资源库，包括：展览、视频、图片、音频等。</w:t>
                  </w:r>
                </w:p>
                <w:p>
                  <w:pPr>
                    <w:pStyle w:val="null3"/>
                    <w:jc w:val="both"/>
                  </w:pPr>
                  <w:r>
                    <w:rPr>
                      <w:rFonts w:ascii="仿宋_GB2312" w:hAnsi="仿宋_GB2312" w:cs="仿宋_GB2312" w:eastAsia="仿宋_GB2312"/>
                      <w:sz w:val="24"/>
                    </w:rPr>
                    <w:t>2.年馆藏数字资源浏览量≥50万。</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网站资源服务</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加强图书馆网站建设与维护；</w:t>
                  </w:r>
                </w:p>
                <w:p>
                  <w:pPr>
                    <w:pStyle w:val="null3"/>
                    <w:jc w:val="both"/>
                  </w:pPr>
                  <w:r>
                    <w:rPr>
                      <w:rFonts w:ascii="仿宋_GB2312" w:hAnsi="仿宋_GB2312" w:cs="仿宋_GB2312" w:eastAsia="仿宋_GB2312"/>
                      <w:sz w:val="24"/>
                    </w:rPr>
                    <w:t>网络信息每周至少更新1次；</w:t>
                  </w:r>
                </w:p>
                <w:p>
                  <w:pPr>
                    <w:pStyle w:val="null3"/>
                    <w:jc w:val="both"/>
                  </w:pPr>
                  <w:r>
                    <w:rPr>
                      <w:rFonts w:ascii="仿宋_GB2312" w:hAnsi="仿宋_GB2312" w:cs="仿宋_GB2312" w:eastAsia="仿宋_GB2312"/>
                      <w:sz w:val="24"/>
                    </w:rPr>
                    <w:t>年图书馆浏览总次数≥12万；</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馆藏开发与文创产品</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利用馆藏资源开发具有原创性、独特性的文创产品不少于6款（含数字创意产品）。</w:t>
                  </w:r>
                </w:p>
              </w:tc>
            </w:tr>
            <w:tr>
              <w:tc>
                <w:tcPr>
                  <w:tcW w:type="dxa" w:w="22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03</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p>
                  <w:pPr>
                    <w:pStyle w:val="null3"/>
                    <w:jc w:val="center"/>
                  </w:pPr>
                  <w:r>
                    <w:rPr>
                      <w:rFonts w:ascii="仿宋_GB2312" w:hAnsi="仿宋_GB2312" w:cs="仿宋_GB2312" w:eastAsia="仿宋_GB2312"/>
                      <w:sz w:val="24"/>
                    </w:rPr>
                    <w:t>宣</w:t>
                  </w:r>
                </w:p>
                <w:p>
                  <w:pPr>
                    <w:pStyle w:val="null3"/>
                    <w:jc w:val="center"/>
                  </w:pPr>
                  <w:r>
                    <w:rPr>
                      <w:rFonts w:ascii="仿宋_GB2312" w:hAnsi="仿宋_GB2312" w:cs="仿宋_GB2312" w:eastAsia="仿宋_GB2312"/>
                      <w:sz w:val="24"/>
                    </w:rPr>
                    <w:t>传</w:t>
                  </w:r>
                </w:p>
                <w:p>
                  <w:pPr>
                    <w:pStyle w:val="null3"/>
                    <w:jc w:val="center"/>
                  </w:pPr>
                  <w:r>
                    <w:rPr>
                      <w:rFonts w:ascii="仿宋_GB2312" w:hAnsi="仿宋_GB2312" w:cs="仿宋_GB2312" w:eastAsia="仿宋_GB2312"/>
                      <w:sz w:val="24"/>
                    </w:rPr>
                    <w:t>与</w:t>
                  </w:r>
                </w:p>
                <w:p>
                  <w:pPr>
                    <w:pStyle w:val="null3"/>
                    <w:jc w:val="center"/>
                  </w:pPr>
                  <w:r>
                    <w:rPr>
                      <w:rFonts w:ascii="仿宋_GB2312" w:hAnsi="仿宋_GB2312" w:cs="仿宋_GB2312" w:eastAsia="仿宋_GB2312"/>
                      <w:sz w:val="24"/>
                    </w:rPr>
                    <w:t>阅</w:t>
                  </w:r>
                </w:p>
                <w:p>
                  <w:pPr>
                    <w:pStyle w:val="null3"/>
                    <w:jc w:val="center"/>
                  </w:pPr>
                  <w:r>
                    <w:rPr>
                      <w:rFonts w:ascii="仿宋_GB2312" w:hAnsi="仿宋_GB2312" w:cs="仿宋_GB2312" w:eastAsia="仿宋_GB2312"/>
                      <w:sz w:val="24"/>
                    </w:rPr>
                    <w:t>读</w:t>
                  </w:r>
                </w:p>
                <w:p>
                  <w:pPr>
                    <w:pStyle w:val="null3"/>
                    <w:jc w:val="center"/>
                  </w:pPr>
                  <w:r>
                    <w:rPr>
                      <w:rFonts w:ascii="仿宋_GB2312" w:hAnsi="仿宋_GB2312" w:cs="仿宋_GB2312" w:eastAsia="仿宋_GB2312"/>
                      <w:sz w:val="24"/>
                    </w:rPr>
                    <w:t>推</w:t>
                  </w:r>
                </w:p>
                <w:p>
                  <w:pPr>
                    <w:pStyle w:val="null3"/>
                    <w:jc w:val="center"/>
                  </w:pPr>
                  <w:r>
                    <w:rPr>
                      <w:rFonts w:ascii="仿宋_GB2312" w:hAnsi="仿宋_GB2312" w:cs="仿宋_GB2312" w:eastAsia="仿宋_GB2312"/>
                      <w:sz w:val="24"/>
                    </w:rPr>
                    <w:t>广</w:t>
                  </w: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讲座、展览、培训活动</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全年面向读者开展的讲座、展览及培训数量≥80场。</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阅读推广活动</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1.举办阅读推广活动≥70场；</w:t>
                  </w:r>
                </w:p>
                <w:p>
                  <w:pPr>
                    <w:pStyle w:val="null3"/>
                    <w:jc w:val="both"/>
                  </w:pPr>
                  <w:r>
                    <w:rPr>
                      <w:rFonts w:ascii="仿宋_GB2312" w:hAnsi="仿宋_GB2312" w:cs="仿宋_GB2312" w:eastAsia="仿宋_GB2312"/>
                      <w:sz w:val="24"/>
                    </w:rPr>
                    <w:t>2.年活动参与人次≥5万；</w:t>
                  </w:r>
                </w:p>
                <w:p>
                  <w:pPr>
                    <w:pStyle w:val="null3"/>
                    <w:jc w:val="both"/>
                  </w:pPr>
                  <w:r>
                    <w:rPr>
                      <w:rFonts w:ascii="仿宋_GB2312" w:hAnsi="仿宋_GB2312" w:cs="仿宋_GB2312" w:eastAsia="仿宋_GB2312"/>
                      <w:sz w:val="24"/>
                    </w:rPr>
                    <w:t>3.积极推进活动品牌建设，馆内品牌活动≥6个（品牌须持续2年以上）。</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宣传推广</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1.重要时间节点的宣传活动，如：春节、科技之春宣传月、4.23世界读书日、图书馆服务宣传周、陕西省阅读文化节等；馆方要求的其他相关活动宣传；</w:t>
                  </w:r>
                </w:p>
                <w:p>
                  <w:pPr>
                    <w:pStyle w:val="null3"/>
                    <w:jc w:val="both"/>
                  </w:pPr>
                  <w:r>
                    <w:rPr>
                      <w:rFonts w:ascii="仿宋_GB2312" w:hAnsi="仿宋_GB2312" w:cs="仿宋_GB2312" w:eastAsia="仿宋_GB2312"/>
                      <w:sz w:val="24"/>
                    </w:rPr>
                    <w:t>2.新闻媒体宣传稿件达到15条以上；其中包含国家级1条、省级3条。</w:t>
                  </w:r>
                </w:p>
              </w:tc>
            </w:tr>
            <w:tr>
              <w:tc>
                <w:tcPr>
                  <w:tcW w:type="dxa" w:w="22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04</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管</w:t>
                  </w:r>
                </w:p>
                <w:p>
                  <w:pPr>
                    <w:pStyle w:val="null3"/>
                    <w:jc w:val="center"/>
                  </w:pPr>
                  <w:r>
                    <w:rPr>
                      <w:rFonts w:ascii="仿宋_GB2312" w:hAnsi="仿宋_GB2312" w:cs="仿宋_GB2312" w:eastAsia="仿宋_GB2312"/>
                      <w:sz w:val="24"/>
                    </w:rPr>
                    <w:t>理</w:t>
                  </w:r>
                </w:p>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总分馆制建设</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1.建立图书馆分馆（服务点）及新型阅读空间，建立通借通还的服务体系；</w:t>
                  </w:r>
                </w:p>
                <w:p>
                  <w:pPr>
                    <w:pStyle w:val="null3"/>
                    <w:jc w:val="both"/>
                  </w:pPr>
                  <w:r>
                    <w:rPr>
                      <w:rFonts w:ascii="仿宋_GB2312" w:hAnsi="仿宋_GB2312" w:cs="仿宋_GB2312" w:eastAsia="仿宋_GB2312"/>
                      <w:sz w:val="24"/>
                    </w:rPr>
                    <w:t>2.负责分馆（服务点）管理指导工作，完成与分馆（服务点）图书的运输、搬运、更换，每年至少1次；协助分馆开展活动。</w:t>
                  </w:r>
                </w:p>
                <w:p>
                  <w:pPr>
                    <w:pStyle w:val="null3"/>
                    <w:jc w:val="both"/>
                  </w:pPr>
                  <w:r>
                    <w:rPr>
                      <w:rFonts w:ascii="仿宋_GB2312" w:hAnsi="仿宋_GB2312" w:cs="仿宋_GB2312" w:eastAsia="仿宋_GB2312"/>
                      <w:sz w:val="24"/>
                    </w:rPr>
                    <w:t>3.组织全区图书馆系统人员培训不低于2次。深入基层辅导培训≥12场次，人次≥350人；</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书刊管理、整理与排架</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做好文献交接登记工作，文献及时上架，无积压现象。完成书刊上架、下架、排架、整理等；图书按照中图法进行分类加工，数据加工符合西安市公共图书馆联合编目要求，书标、馆藏章、芯片符合标准。制定图书编目细则和分类细则，文献编目符合行业标准，保证编目数据规范一致；制定排架工作制度和标准；排架整齐、有序、规范；排架正确率达95%以上；书目加工规范、报刊上架及时。</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书刊剔旧及装订</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24"/>
                    </w:rPr>
                    <w:t>1.制定剔旧工作制度和标准，落实剔旧工作。</w:t>
                  </w:r>
                </w:p>
                <w:p>
                  <w:pPr>
                    <w:pStyle w:val="null3"/>
                  </w:pPr>
                  <w:r>
                    <w:rPr>
                      <w:rFonts w:ascii="仿宋_GB2312" w:hAnsi="仿宋_GB2312" w:cs="仿宋_GB2312" w:eastAsia="仿宋_GB2312"/>
                      <w:sz w:val="24"/>
                    </w:rPr>
                    <w:t>2.完成报纸期刊征订采编（不少于100种）。</w:t>
                  </w:r>
                </w:p>
                <w:p>
                  <w:pPr>
                    <w:pStyle w:val="null3"/>
                  </w:pPr>
                  <w:r>
                    <w:rPr>
                      <w:rFonts w:ascii="仿宋_GB2312" w:hAnsi="仿宋_GB2312" w:cs="仿宋_GB2312" w:eastAsia="仿宋_GB2312"/>
                      <w:sz w:val="24"/>
                    </w:rPr>
                    <w:t>3.报纸期刊装订服务。</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志愿者管理</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志愿者管理制度规范化；组建志愿者团队，并在志愿者平台注册；规范开展志愿者服务，平均每人服务时间不低于10小时；志愿者活动不低于10场。</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运营团队人员配置</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满足图书馆管理、服务需求。合理配置运营团队人员不少于8人（负责读者服务、阅读推广、文献编目、分馆管理、财务、综合办公等工作），其中大学本科及以上学历员工占总人数80%以上。人员不得随意更换调配，需征得甲方同意方可。</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员工教育培训</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1.制定人员入职离职报备制度、岗位管理制度、考核与分配激励制度等；</w:t>
                  </w:r>
                </w:p>
                <w:p>
                  <w:pPr>
                    <w:pStyle w:val="null3"/>
                    <w:jc w:val="both"/>
                  </w:pPr>
                  <w:r>
                    <w:rPr>
                      <w:rFonts w:ascii="仿宋_GB2312" w:hAnsi="仿宋_GB2312" w:cs="仿宋_GB2312" w:eastAsia="仿宋_GB2312"/>
                      <w:sz w:val="24"/>
                    </w:rPr>
                    <w:t>2.对馆员进行教育培训，每年组织专业培训时间不少于15天；</w:t>
                  </w:r>
                </w:p>
                <w:p>
                  <w:pPr>
                    <w:pStyle w:val="null3"/>
                    <w:jc w:val="both"/>
                  </w:pPr>
                  <w:r>
                    <w:rPr>
                      <w:rFonts w:ascii="仿宋_GB2312" w:hAnsi="仿宋_GB2312" w:cs="仿宋_GB2312" w:eastAsia="仿宋_GB2312"/>
                      <w:sz w:val="24"/>
                    </w:rPr>
                    <w:t>3.从业人员应取得有效健康合格证明和并经卫生知识培训合格后方可上岗工作。</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业务研究</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1.加强图书馆业务研究的管理，建立业务研究激励制度；</w:t>
                  </w:r>
                </w:p>
                <w:p>
                  <w:pPr>
                    <w:pStyle w:val="null3"/>
                    <w:jc w:val="both"/>
                  </w:pPr>
                  <w:r>
                    <w:rPr>
                      <w:rFonts w:ascii="仿宋_GB2312" w:hAnsi="仿宋_GB2312" w:cs="仿宋_GB2312" w:eastAsia="仿宋_GB2312"/>
                      <w:sz w:val="24"/>
                    </w:rPr>
                    <w:t>2.积极参加馆外学术交流和业务研讨活动；</w:t>
                  </w:r>
                </w:p>
                <w:p>
                  <w:pPr>
                    <w:pStyle w:val="null3"/>
                    <w:jc w:val="both"/>
                  </w:pPr>
                  <w:r>
                    <w:rPr>
                      <w:rFonts w:ascii="仿宋_GB2312" w:hAnsi="仿宋_GB2312" w:cs="仿宋_GB2312" w:eastAsia="仿宋_GB2312"/>
                      <w:sz w:val="24"/>
                    </w:rPr>
                    <w:t>3.在刊物（含内刊）发表论文或文章数量不低于1篇，申报创新案例1个。</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国有资产管理</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按照国有资产管理制度及管理办法，对馆内阅览桌椅、书架、智能化设备、图书期刊、办公设备等资产进行日常管理和维护，每年对固定资产盘点1次。</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档案及日常管理</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24"/>
                    </w:rPr>
                    <w:t>1.综合档案管理（文书、设备、声像、图像、实物等）。</w:t>
                  </w:r>
                </w:p>
                <w:p>
                  <w:pPr>
                    <w:pStyle w:val="null3"/>
                  </w:pPr>
                  <w:r>
                    <w:rPr>
                      <w:rFonts w:ascii="仿宋_GB2312" w:hAnsi="仿宋_GB2312" w:cs="仿宋_GB2312" w:eastAsia="仿宋_GB2312"/>
                      <w:sz w:val="24"/>
                    </w:rPr>
                    <w:t>2.各项工作日志齐全。</w:t>
                  </w:r>
                </w:p>
                <w:p>
                  <w:pPr>
                    <w:pStyle w:val="null3"/>
                  </w:pPr>
                  <w:r>
                    <w:rPr>
                      <w:rFonts w:ascii="仿宋_GB2312" w:hAnsi="仿宋_GB2312" w:cs="仿宋_GB2312" w:eastAsia="仿宋_GB2312"/>
                      <w:sz w:val="24"/>
                    </w:rPr>
                    <w:t>3.包含办公所需使用物品等。</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安全管理</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1.制定消防、防恐、防疫、防汛及网络安全等应急预案，责任落实到人，并组织至少2次演练。</w:t>
                  </w:r>
                </w:p>
                <w:p>
                  <w:pPr>
                    <w:pStyle w:val="null3"/>
                    <w:jc w:val="both"/>
                  </w:pPr>
                  <w:r>
                    <w:rPr>
                      <w:rFonts w:ascii="仿宋_GB2312" w:hAnsi="仿宋_GB2312" w:cs="仿宋_GB2312" w:eastAsia="仿宋_GB2312"/>
                      <w:sz w:val="24"/>
                    </w:rPr>
                    <w:t>2.定期开展巡查整改工作，并做好日常巡检和处理隐患的工作日志。</w:t>
                  </w:r>
                </w:p>
                <w:p>
                  <w:pPr>
                    <w:pStyle w:val="null3"/>
                    <w:jc w:val="both"/>
                  </w:pPr>
                  <w:r>
                    <w:rPr>
                      <w:rFonts w:ascii="仿宋_GB2312" w:hAnsi="仿宋_GB2312" w:cs="仿宋_GB2312" w:eastAsia="仿宋_GB2312"/>
                      <w:sz w:val="24"/>
                    </w:rPr>
                    <w:t>3.消防设施设备摆放位置醒目，设施配备齐全、完好无损，可随时起用，组织开展消防法规及消防知识的宣传教育，明确各空间防火责任人；消防疏散通道畅通；保证无火灾安全隐患。</w:t>
                  </w:r>
                </w:p>
                <w:p>
                  <w:pPr>
                    <w:pStyle w:val="null3"/>
                    <w:jc w:val="both"/>
                  </w:pPr>
                  <w:r>
                    <w:rPr>
                      <w:rFonts w:ascii="仿宋_GB2312" w:hAnsi="仿宋_GB2312" w:cs="仿宋_GB2312" w:eastAsia="仿宋_GB2312"/>
                      <w:sz w:val="24"/>
                    </w:rPr>
                    <w:t>4.建立图书馆安全保障机制，妥善处理突发事件，保障空间财产设备及维护馆内借阅秩序。</w:t>
                  </w:r>
                </w:p>
                <w:p>
                  <w:pPr>
                    <w:pStyle w:val="null3"/>
                    <w:jc w:val="both"/>
                  </w:pPr>
                  <w:r>
                    <w:rPr>
                      <w:rFonts w:ascii="仿宋_GB2312" w:hAnsi="仿宋_GB2312" w:cs="仿宋_GB2312" w:eastAsia="仿宋_GB2312"/>
                      <w:sz w:val="24"/>
                    </w:rPr>
                    <w:t>5.购买公共场所安全保险。</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环境卫生管理</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合理配备馆内卫生保洁员不少于2名。保持图书馆整洁、美观，维护图书馆整体环境，确保卫生标准符合规定。</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业务统计与上报</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1.负责业务统计分析并形成报告，负责读者证管理。</w:t>
                  </w:r>
                </w:p>
                <w:p>
                  <w:pPr>
                    <w:pStyle w:val="null3"/>
                    <w:jc w:val="both"/>
                  </w:pPr>
                  <w:r>
                    <w:rPr>
                      <w:rFonts w:ascii="仿宋_GB2312" w:hAnsi="仿宋_GB2312" w:cs="仿宋_GB2312" w:eastAsia="仿宋_GB2312"/>
                      <w:sz w:val="24"/>
                    </w:rPr>
                    <w:t>2.按月上报基本服务数据（到馆读者人数、外借册次、活动次数、参与人次等）。建立月、季、年计划、总结上报制度。年报每年编制一次。</w:t>
                  </w:r>
                </w:p>
                <w:p>
                  <w:pPr>
                    <w:pStyle w:val="null3"/>
                    <w:jc w:val="both"/>
                  </w:pPr>
                  <w:r>
                    <w:rPr>
                      <w:rFonts w:ascii="仿宋_GB2312" w:hAnsi="仿宋_GB2312" w:cs="仿宋_GB2312" w:eastAsia="仿宋_GB2312"/>
                      <w:sz w:val="24"/>
                    </w:rPr>
                    <w:t>3.按时上报各类报表及资料。</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服务设备维护</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负责对图书馆设施设备运行情况进行巡检，及时处理故障，保障图书馆智能设备、软硬件系统、服务设施正常运行。更换故障硬件与设备的维护，一般故障1周内完成，最长时间不能超10天。</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用户意见收集、处理与评价</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1.建立读者意见的收集、反馈机制和效能评价体系。</w:t>
                  </w:r>
                </w:p>
                <w:p>
                  <w:pPr>
                    <w:pStyle w:val="null3"/>
                    <w:jc w:val="both"/>
                  </w:pPr>
                  <w:r>
                    <w:rPr>
                      <w:rFonts w:ascii="仿宋_GB2312" w:hAnsi="仿宋_GB2312" w:cs="仿宋_GB2312" w:eastAsia="仿宋_GB2312"/>
                      <w:sz w:val="24"/>
                    </w:rPr>
                    <w:t>2.2个工作日内完成意见和便民热线、投诉等答复。</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用户满意率</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建立完整的读者满意率调查体系（馆内、馆外、网络等多元方式）；年度读者满意度不低于90%,读者调查表发放数量不低于300份，回收率不低于80%。</w:t>
                  </w:r>
                </w:p>
              </w:tc>
            </w:tr>
            <w:tr>
              <w:tc>
                <w:tcPr>
                  <w:tcW w:type="dxa" w:w="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05</w:t>
                  </w:r>
                </w:p>
              </w:tc>
              <w:tc>
                <w:tcPr>
                  <w:tcW w:type="dxa" w:w="26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业务创新</w:t>
                  </w: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创新项目</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1.在图书馆建设、管理、服务等领域探索实施的具有行业影响力的创新性举措，不低于2个；</w:t>
                  </w:r>
                </w:p>
                <w:p>
                  <w:pPr>
                    <w:pStyle w:val="null3"/>
                    <w:jc w:val="both"/>
                  </w:pPr>
                  <w:r>
                    <w:rPr>
                      <w:rFonts w:ascii="仿宋_GB2312" w:hAnsi="仿宋_GB2312" w:cs="仿宋_GB2312" w:eastAsia="仿宋_GB2312"/>
                      <w:sz w:val="24"/>
                    </w:rPr>
                    <w:t>2.图书馆服务与旅游服务相融合项目不低于2个；</w:t>
                  </w:r>
                </w:p>
              </w:tc>
            </w:tr>
            <w:tr>
              <w:tc>
                <w:tcPr>
                  <w:tcW w:type="dxa" w:w="22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06</w:t>
                  </w:r>
                </w:p>
              </w:tc>
              <w:tc>
                <w:tcPr>
                  <w:tcW w:type="dxa" w:w="26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荣誉</w:t>
                  </w: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表彰奖励</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争取各级各类表彰奖励数不低于3个；</w:t>
                  </w:r>
                </w:p>
              </w:tc>
            </w:tr>
            <w:tr>
              <w:tc>
                <w:tcPr>
                  <w:tcW w:type="dxa" w:w="22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07</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责任事故</w:t>
                  </w: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安全生产</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落实安全生产工作责任制，严防发生重大安全事故</w:t>
                  </w:r>
                </w:p>
              </w:tc>
            </w:tr>
            <w:tr>
              <w:tc>
                <w:tcPr>
                  <w:tcW w:type="dxa" w:w="229"/>
                  <w:vMerge/>
                  <w:tcBorders>
                    <w:top w:val="none" w:color="000000" w:sz="4"/>
                    <w:left w:val="single" w:color="000000" w:sz="4"/>
                    <w:bottom w:val="single" w:color="000000" w:sz="4"/>
                    <w:right w:val="single" w:color="000000" w:sz="4"/>
                  </w:tcBorders>
                </w:tcPr>
                <w:p/>
              </w:tc>
              <w:tc>
                <w:tcPr>
                  <w:tcW w:type="dxa" w:w="260"/>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意识形态</w:t>
                  </w:r>
                </w:p>
              </w:tc>
              <w:tc>
                <w:tcPr>
                  <w:tcW w:type="dxa" w:w="155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落实意识形态工作责任制，严防发生严重政治事故</w:t>
                  </w:r>
                </w:p>
              </w:tc>
            </w:tr>
          </w:tbl>
          <w:p>
            <w:pPr>
              <w:pStyle w:val="null3"/>
            </w:pPr>
            <w:r>
              <w:rPr>
                <w:rFonts w:ascii="仿宋_GB2312" w:hAnsi="仿宋_GB2312" w:cs="仿宋_GB2312" w:eastAsia="仿宋_GB2312"/>
                <w:sz w:val="24"/>
              </w:rPr>
              <w:t>三、服务要求</w:t>
            </w:r>
          </w:p>
          <w:p>
            <w:pPr>
              <w:pStyle w:val="null3"/>
              <w:ind w:firstLine="200"/>
              <w:jc w:val="both"/>
            </w:pPr>
            <w:r>
              <w:rPr>
                <w:rFonts w:ascii="仿宋_GB2312" w:hAnsi="仿宋_GB2312" w:cs="仿宋_GB2312" w:eastAsia="仿宋_GB2312"/>
                <w:sz w:val="24"/>
              </w:rPr>
              <w:t>（一）质量保障</w:t>
            </w:r>
          </w:p>
          <w:p>
            <w:pPr>
              <w:pStyle w:val="null3"/>
              <w:ind w:firstLine="400"/>
              <w:jc w:val="both"/>
            </w:pPr>
            <w:r>
              <w:rPr>
                <w:rFonts w:ascii="仿宋_GB2312" w:hAnsi="仿宋_GB2312" w:cs="仿宋_GB2312" w:eastAsia="仿宋_GB2312"/>
                <w:sz w:val="24"/>
              </w:rPr>
              <w:t>供应商应建立完善的质量控制体系，确保服务过程和成果符合国家、陕西省及行业相关规定，且内容真实、准确、完整。</w:t>
            </w:r>
          </w:p>
          <w:p>
            <w:pPr>
              <w:pStyle w:val="null3"/>
              <w:ind w:firstLine="200"/>
              <w:jc w:val="both"/>
            </w:pPr>
            <w:r>
              <w:rPr>
                <w:rFonts w:ascii="仿宋_GB2312" w:hAnsi="仿宋_GB2312" w:cs="仿宋_GB2312" w:eastAsia="仿宋_GB2312"/>
                <w:sz w:val="24"/>
              </w:rPr>
              <w:t>（二）保密要求</w:t>
            </w:r>
          </w:p>
          <w:p>
            <w:pPr>
              <w:pStyle w:val="null3"/>
              <w:ind w:firstLine="400"/>
              <w:jc w:val="both"/>
            </w:pPr>
            <w:r>
              <w:rPr>
                <w:rFonts w:ascii="仿宋_GB2312" w:hAnsi="仿宋_GB2312" w:cs="仿宋_GB2312" w:eastAsia="仿宋_GB2312"/>
                <w:sz w:val="24"/>
              </w:rPr>
              <w:t>供应商需严格遵守国家保密法律法规及省市相关保密规定，对服务过程中接触的敏感信息和数据履行保密义务，不得泄露或用于其他用途。</w:t>
            </w:r>
          </w:p>
          <w:p>
            <w:pPr>
              <w:pStyle w:val="null3"/>
              <w:ind w:left="195"/>
              <w:jc w:val="both"/>
            </w:pPr>
            <w:r>
              <w:rPr>
                <w:rFonts w:ascii="仿宋_GB2312" w:hAnsi="仿宋_GB2312" w:cs="仿宋_GB2312" w:eastAsia="仿宋_GB2312"/>
                <w:sz w:val="24"/>
              </w:rPr>
              <w:t>四、需要由供应商提供的设计方案、解决方案或者组织方案</w:t>
            </w:r>
            <w:r>
              <w:br/>
            </w:r>
            <w:r>
              <w:rPr>
                <w:rFonts w:ascii="仿宋_GB2312" w:hAnsi="仿宋_GB2312" w:cs="仿宋_GB2312" w:eastAsia="仿宋_GB2312"/>
                <w:sz w:val="24"/>
              </w:rPr>
              <w:t xml:space="preserve"> （一）重点难点分析及解决方案</w:t>
            </w:r>
          </w:p>
          <w:p>
            <w:pPr>
              <w:pStyle w:val="null3"/>
              <w:ind w:firstLine="400"/>
              <w:jc w:val="both"/>
            </w:pPr>
            <w:r>
              <w:rPr>
                <w:rFonts w:ascii="仿宋_GB2312" w:hAnsi="仿宋_GB2312" w:cs="仿宋_GB2312" w:eastAsia="仿宋_GB2312"/>
                <w:sz w:val="24"/>
              </w:rPr>
              <w:t xml:space="preserve">供应商应针对本项目实际情况结合过往经验分析并指出项目实施过程中潜在的困难点、风险点，并能够给出妥善的解决方案。  </w:t>
            </w:r>
          </w:p>
          <w:p>
            <w:pPr>
              <w:pStyle w:val="null3"/>
              <w:ind w:firstLine="200"/>
              <w:jc w:val="both"/>
            </w:pPr>
            <w:r>
              <w:rPr>
                <w:rFonts w:ascii="仿宋_GB2312" w:hAnsi="仿宋_GB2312" w:cs="仿宋_GB2312" w:eastAsia="仿宋_GB2312"/>
                <w:sz w:val="24"/>
              </w:rPr>
              <w:t>（二）应急保障组织方案</w:t>
            </w:r>
          </w:p>
          <w:p>
            <w:pPr>
              <w:pStyle w:val="null3"/>
              <w:ind w:firstLine="400"/>
              <w:jc w:val="both"/>
            </w:pPr>
            <w:r>
              <w:rPr>
                <w:rFonts w:ascii="仿宋_GB2312" w:hAnsi="仿宋_GB2312" w:cs="仿宋_GB2312" w:eastAsia="仿宋_GB2312"/>
                <w:sz w:val="24"/>
              </w:rPr>
              <w:t>供应商应制定合理可行的应急保障组织方案，通过优化组织程序，提高不可预见事件的处理效率、加强控制保障等多种手段，确保项目顺利进行。</w:t>
            </w:r>
          </w:p>
          <w:p>
            <w:pPr>
              <w:pStyle w:val="null3"/>
              <w:ind w:firstLine="200"/>
              <w:jc w:val="both"/>
            </w:pPr>
            <w:r>
              <w:rPr>
                <w:rFonts w:ascii="仿宋_GB2312" w:hAnsi="仿宋_GB2312" w:cs="仿宋_GB2312" w:eastAsia="仿宋_GB2312"/>
                <w:sz w:val="24"/>
              </w:rPr>
              <w:t>（三）增值服务组织方案及合理化建议</w:t>
            </w:r>
          </w:p>
          <w:p>
            <w:pPr>
              <w:pStyle w:val="null3"/>
              <w:ind w:firstLine="400"/>
              <w:jc w:val="both"/>
            </w:pPr>
            <w:r>
              <w:rPr>
                <w:rFonts w:ascii="仿宋_GB2312" w:hAnsi="仿宋_GB2312" w:cs="仿宋_GB2312" w:eastAsia="仿宋_GB2312"/>
                <w:sz w:val="24"/>
              </w:rPr>
              <w:t>供应商根据自身情况提供组织方案及合理化建议。</w:t>
            </w:r>
          </w:p>
          <w:p>
            <w:pPr>
              <w:pStyle w:val="null3"/>
              <w:ind w:firstLine="200"/>
              <w:jc w:val="both"/>
            </w:pPr>
            <w:r>
              <w:rPr>
                <w:rFonts w:ascii="仿宋_GB2312" w:hAnsi="仿宋_GB2312" w:cs="仿宋_GB2312" w:eastAsia="仿宋_GB2312"/>
                <w:sz w:val="24"/>
              </w:rPr>
              <w:t>（四）保密措施</w:t>
            </w:r>
          </w:p>
          <w:p>
            <w:pPr>
              <w:pStyle w:val="null3"/>
              <w:ind w:firstLine="400"/>
              <w:jc w:val="both"/>
            </w:pPr>
            <w:r>
              <w:rPr>
                <w:rFonts w:ascii="仿宋_GB2312" w:hAnsi="仿宋_GB2312" w:cs="仿宋_GB2312" w:eastAsia="仿宋_GB2312"/>
                <w:sz w:val="24"/>
              </w:rPr>
              <w:t>供应商应制定合理保密措施和解决方案，确保项目团队对项目执行中所获知信息保密。本项目所形成的数据成果归采购人所有。未经采购人同意，供应商不得以商业目的使用该资料或者开发和生产其他产品。</w:t>
            </w:r>
          </w:p>
          <w:p>
            <w:pPr>
              <w:pStyle w:val="null3"/>
              <w:ind w:firstLine="200"/>
              <w:jc w:val="both"/>
            </w:pPr>
            <w:r>
              <w:rPr>
                <w:rFonts w:ascii="仿宋_GB2312" w:hAnsi="仿宋_GB2312" w:cs="仿宋_GB2312" w:eastAsia="仿宋_GB2312"/>
                <w:sz w:val="24"/>
              </w:rPr>
              <w:t>（五）服务支持和保障方案</w:t>
            </w:r>
          </w:p>
          <w:p>
            <w:pPr>
              <w:pStyle w:val="null3"/>
              <w:ind w:firstLine="400"/>
              <w:jc w:val="both"/>
            </w:pPr>
            <w:r>
              <w:rPr>
                <w:rFonts w:ascii="仿宋_GB2312" w:hAnsi="仿宋_GB2312" w:cs="仿宋_GB2312" w:eastAsia="仿宋_GB2312"/>
                <w:sz w:val="24"/>
              </w:rPr>
              <w:t>供应商应制定完善的本项目服务支持与保障方案，涵盖服务响应、技术支持、运营保障、问题解决以及持续优化等措施，以确保项目顺利推进。</w:t>
            </w:r>
          </w:p>
          <w:p>
            <w:pPr>
              <w:pStyle w:val="null3"/>
              <w:ind w:firstLine="200"/>
              <w:jc w:val="both"/>
            </w:pPr>
            <w:r>
              <w:rPr>
                <w:rFonts w:ascii="仿宋_GB2312" w:hAnsi="仿宋_GB2312" w:cs="仿宋_GB2312" w:eastAsia="仿宋_GB2312"/>
                <w:sz w:val="24"/>
              </w:rPr>
              <w:t>（六）服务承诺</w:t>
            </w:r>
          </w:p>
          <w:p>
            <w:pPr>
              <w:pStyle w:val="null3"/>
              <w:ind w:firstLine="400"/>
            </w:pPr>
            <w:r>
              <w:rPr>
                <w:rFonts w:ascii="仿宋_GB2312" w:hAnsi="仿宋_GB2312" w:cs="仿宋_GB2312" w:eastAsia="仿宋_GB2312"/>
                <w:sz w:val="24"/>
              </w:rPr>
              <w:t>供应商应根据本项目服务要求，针对本项目服务工作中的常见质量和服务问题进行梳理，供应商可根据自身情况对服务标准、过程管理、质量保证、人员培训、后续服务等方面作出有利于本项目开展的承诺。</w:t>
            </w:r>
          </w:p>
          <w:p>
            <w:pPr>
              <w:pStyle w:val="null3"/>
              <w:ind w:firstLine="400"/>
            </w:pPr>
            <w:r>
              <w:rPr>
                <w:rFonts w:ascii="仿宋_GB2312" w:hAnsi="仿宋_GB2312" w:cs="仿宋_GB2312" w:eastAsia="仿宋_GB2312"/>
              </w:rPr>
              <w:t xml:space="preserve"> </w:t>
            </w:r>
          </w:p>
          <w:p>
            <w:pPr>
              <w:pStyle w:val="null3"/>
              <w:ind w:firstLine="400"/>
            </w:pPr>
            <w:r>
              <w:rPr>
                <w:rFonts w:ascii="仿宋_GB2312" w:hAnsi="仿宋_GB2312" w:cs="仿宋_GB2312" w:eastAsia="仿宋_GB2312"/>
              </w:rPr>
              <w:t xml:space="preserve"> </w:t>
            </w:r>
          </w:p>
          <w:p>
            <w:pPr>
              <w:pStyle w:val="null3"/>
              <w:ind w:firstLine="400"/>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需配置满足图书馆管理、服务需求的人员团队。运营团队人员不少于8人（负责读者服务、阅读推广、文献编目、分馆管理、财务、综合办公等工作），其中大学本科及以上学历员工占总人数80%以上，投标时应提供人员配置清单或人员配置承诺函。 2.服务人员在工作期间发生任何经济赔偿、劳动纠纷、法律纠纷、安全事故、疾病等等有关问题均由成交人负责处理并承担相应责任，采购人不承担连带责任。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西安市财政局《关于促进政府采购公平竞争优化营商环境的通知》（市财函〔2021〕431号）要求。供应商若不参与项目投标，应在递交响应文件截止前一日以书面形式告知采购代理机构（告知函应签字盖章后发送至代理机构邮箱xa@zbyan.cn）。否则，采购代理机构可以向财政部门反映情况并提供相应的佐证。供应商一年内累计出现三次该情形，将被监管部门记录为失信行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自双方合同签订之日起1年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符合国家相关标准、行业验收标准及磋商文件要求。根据成交人提供的成果资料，由采购人自行组织验收。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由采购人负责结算，合同签订后且供应商已向采购人开具全额发票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服务至第四季度的第一个月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间，每季度由采购人组织开展考核，服务期满后组织专家对运营服务供应商进行全面考核评估（具体考核内容以采购人要求为准），达到目标任务，支付剩余的费用。若未达到目标任务，则不支予付。若供应商延期开票，则采购人相应付款义务顺延，且不承担违约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评分标准释义： 1、内容不足或存在缺陷是指：方案内容不完整或缺少关键要素；对同一问题的阐述前后矛盾；存在逻辑漏洞、科学原理错误或违背常识；不利于实现本项目采购目标等任意一种情形，包括但不限于：关键要素缺失：对项目实施起决定性作用的关键要素有遗漏，致使方案完整性与可操作性严重不足，无法为项目开展提供充分指导，严重影响采购目标实现。 前后表述矛盾：针对关键问题或重要事项，方案不同章节、段落、条款的阐述相互冲突，破坏逻辑连贯性与准确性，严重影响方案可信度与有效性。 逻辑性、科学性或常识性错误：方案存在明显逻辑推理错误，如前提与结论脱节、论证不合理；涉及专业技术、科学原理、行业常识时，表述与公认标准、理论相悖；或者出现常识性错误，脱离实际，难以付诸实践。不利于采购目标实现：方案未围绕本项目采购核心需求响应，在项目范围、质量标准、交付成果等关键方面，与采购预期方向和实际要求偏差过大，无法保障采购目标达成，甚至对项目实施产生负面影响。 2、内容存在部分瑕疵是指：方案内容大体上完备，具备一定的可行性，但在某些方面与项目的实际需求不符；商务技术方案的响应内容与评分标准中的评分点未能完全对应；或存在细节上的错误；不利于项目等任意一种情形，包括但不限于： 适配性问题：方案整体框架完整，主要内容可行，有实施基础，但部分细节未结合项目特定环境、资源条件、业务流程等进行针对性设计，实际应用可能出现适配问题，影响项目采购目标实现。 细节错误：方案存在数据精度不准、商务技术方案响应与评分标准未能完全对应、格式不合项目规范、文字表述有歧义或错别字等细节问题。这些虽不改变方案整体方向与可行性，但降低专业性和严谨性，对采购目标实现和高质量实施产生不利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采购包专门面向中小企业采购。服务全部由符合政策要求的中小企业承接。中小企业参加政府采购活动，应当出具政策规定的《中小企业声明函》。（2）《关于在政府采购活动中查询及使用信用记录有关问题的通知》（财库〔2016〕125号）； （3）《政府采购促进中小企业发展管理办法》（财库〔2020〕46号）、《关于进一步加大政府采购支持中小企业力度的通知》（财库〔2022〕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4）国务院办公厅《关于建立政府强制采购节能产品制度的通知》（国办发〔2007〕51号）、财政部、国家发改委、生态环境部、市场监督管理总局联合印发《关于调整优化节能产品、环境标志产品政府采购执行机制的通知》（财库〔2019〕9号） （5）《陕西省财政厅关于加快推进我省中小企业政府采购信用融资工作的通知》（陕财办采〔2020〕15 号）、陕西省财政厅关于印发《陕西省中小企业政府采购信用融资办法》（陕财办采〔2018〕23 号）；（6）《关于推动解决政府采购异常低价问题的通知》（财库〔2026〕2号）； （7）如有颁布最新的政策，以最新已生效的政策为准。</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2.响应报价低于通过符合性审查的次低报价供应商投标响应报价50%的，即响应报价&lt;通过符合性审查的次低报价供应商响应报价×50%；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响应供应商不能提供书面说明、证明材料，或者提供的书面说明、证明材料不能证明其报价合理性的，磋商小组应当将其作为无效响应处理。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异常低价响应审查的启动原因、审查意见报告中记录，并随和审查结果应当在评审供应商提供的相关书面说明及证明材料，以及评审委员会有关互联网浏览、查询历史一并归档。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按磋商文件要求方式签署、盖章</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响应报价未超过磋商文件中规定的预算金额或者最高限价</w:t>
            </w:r>
          </w:p>
        </w:tc>
        <w:tc>
          <w:tcPr>
            <w:tcW w:type="dxa" w:w="1661"/>
          </w:tcPr>
          <w:p>
            <w:pPr>
              <w:pStyle w:val="null3"/>
            </w:pPr>
            <w:r>
              <w:rPr>
                <w:rFonts w:ascii="仿宋_GB2312" w:hAnsi="仿宋_GB2312" w:cs="仿宋_GB2312" w:eastAsia="仿宋_GB2312"/>
              </w:rPr>
              <w:t>标的清单 报价表 2-分项报价明细表.docx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响应文件符合磋商文件中标注 “★”的实质性条款要求</w:t>
            </w:r>
          </w:p>
        </w:tc>
        <w:tc>
          <w:tcPr>
            <w:tcW w:type="dxa" w:w="1661"/>
          </w:tcPr>
          <w:p>
            <w:pPr>
              <w:pStyle w:val="null3"/>
            </w:pPr>
            <w:r>
              <w:rPr>
                <w:rFonts w:ascii="仿宋_GB2312" w:hAnsi="仿宋_GB2312" w:cs="仿宋_GB2312" w:eastAsia="仿宋_GB2312"/>
              </w:rPr>
              <w:t>响应文件封面 4-评分细则相应的商务技术资料.docx 中小企业声明函 残疾人福利性单位声明函 3-商务技术偏离表.docx 标的清单 报价表 5-政府采购拒绝商业贿赂书.docx 1-资格证明文件.docx 2-分项报价明细表.docx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应提供针对本项目采购需求的理解，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应提供针对本项目详细的服务方案，至少应包括：①运营目标及标准；②基本运营服务方案；③数字服务方案；④服务宣传与阅读推广方案。包含但不限于上述全部内容，且方案详细，清晰有利于项目的得满分(如有缺陷或不足在此分数基础上进行扣分)，以上4项中： （1）每有1项缺失或内容无法满足项目需求的扣5分； （2）有1项中内容存在缺陷或不足（是指内容方案缺少关键点；对同一问题前后表述矛盾；存在逻辑漏洞、科学原理或常识错误；不利于本项目采购目标实现等任意一种情形）扣3分；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管理服务方案</w:t>
            </w:r>
          </w:p>
        </w:tc>
        <w:tc>
          <w:tcPr>
            <w:tcW w:type="dxa" w:w="2492"/>
          </w:tcPr>
          <w:p>
            <w:pPr>
              <w:pStyle w:val="null3"/>
            </w:pPr>
            <w:r>
              <w:rPr>
                <w:rFonts w:ascii="仿宋_GB2312" w:hAnsi="仿宋_GB2312" w:cs="仿宋_GB2312" w:eastAsia="仿宋_GB2312"/>
              </w:rPr>
              <w:t>供应商应提供针对本项目完整详细的管理服务方案，至少应包括： ①总分馆制建设方案；②书刊管理、整理与排架，剔旧及装订方案；③志愿者管理制度规范化方案；④业务统计与研究方案；⑤环境卫生管理方案；⑥员工教育培训措施；⑦日常管理及档案、设备维护方案；⑧用户意见和满意度收集处理方案。包含但不限于上述全部内容，且方案详细，清晰有利于项目的得满分(如有缺陷或不足在此分数基础上进行扣分)，以上8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业务创新与荣誉</w:t>
            </w:r>
          </w:p>
        </w:tc>
        <w:tc>
          <w:tcPr>
            <w:tcW w:type="dxa" w:w="2492"/>
          </w:tcPr>
          <w:p>
            <w:pPr>
              <w:pStyle w:val="null3"/>
            </w:pPr>
            <w:r>
              <w:rPr>
                <w:rFonts w:ascii="仿宋_GB2312" w:hAnsi="仿宋_GB2312" w:cs="仿宋_GB2312" w:eastAsia="仿宋_GB2312"/>
              </w:rPr>
              <w:t>供应商应提供针对本项目完整详细的业务创新与荣誉，至少应包括： ①业务创新性举措措施；②争取各级各类表彰奖励措施；包含但不限于上述全部内容，且方案详细，清晰有利于项目的得满分(如有缺陷或不足在此分数基础上进行扣分)，以上2项中：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供应商需提供人员配置清单或人员配置承诺函，评分规则如下：团队服务人员具备经济类高级职称的，每人得2分；具备经济类中级职称的，每人得1分；同一人员不重复计分。若供应商仅提供项目服务人员配置承诺函未提供证明材料的，最高得0.5分，本项满分3分； 注：供应商应提供上述人员学历证书、职称证书，磋商前六个月内在本单位任意一个月任意社保缴纳证明文件，未提供或提供不全不得分。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提供针对本项目的应急预案，至少应包含：①安全管理及应急措施；②政治保障及意识形态防范应急措施；③突发紧急事件的应急预案。包含但不限于上述全部内容，且方案详细，清晰有利于项目的得9分(如有缺陷或不足在此分数基础上进行扣分)。以上3项中：（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1.承诺接受采购人对服务的考核、监督及管理，定期调研采购人对服务质量的满意度并加以改进，确保服务工作的优质高效，提供承诺书得1分。 2.针对本项目服务工作中常见的质量问题和服务问题进行梳理，供应商作出有利于本项目的承诺，每提供1条有效承诺得0.5分，最高得2分。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供应商提供2023年1月1日至响应截止日期承接的类似项目业绩，每份合格业绩计2.5分，满分5分。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根据《政府采购竞争性磋商采购方式管理暂行办法》规定，综合评分法中的价格分统一采用低价优先法计算，即满足磋商文件要求且最后响应报价最低的报价为评审基准价，其价格分为满分。其他供应商的价格分统一按照下列公式计算：响应报价得分=（评审基准价/最后报价）×15。若落实政府采购政策的，以调整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详见附件：5-政府采购拒绝商业贿赂书.docx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详见附件：6-拟签订采购合同文本.docx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