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版本号：HY-ZB-030-202620260717001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大荔西城街道东七社区全民健身中心项目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HY-ZB-030-2026</w:t>
      </w:r>
      <w:r>
        <w:br/>
      </w:r>
      <w:r>
        <w:br/>
      </w:r>
      <w:r>
        <w:br/>
      </w:r>
    </w:p>
    <w:p>
      <w:pPr>
        <w:pStyle w:val="null3"/>
        <w:jc w:val="center"/>
        <w:outlineLvl w:val="2"/>
      </w:pPr>
      <w:r>
        <w:rPr>
          <w:rFonts w:ascii="仿宋_GB2312" w:hAnsi="仿宋_GB2312" w:cs="仿宋_GB2312" w:eastAsia="仿宋_GB2312"/>
          <w:sz w:val="28"/>
          <w:b/>
        </w:rPr>
        <w:t>大荔县体育运动中心</w:t>
      </w:r>
    </w:p>
    <w:p>
      <w:pPr>
        <w:pStyle w:val="null3"/>
        <w:jc w:val="center"/>
        <w:outlineLvl w:val="2"/>
      </w:pPr>
      <w:r>
        <w:rPr>
          <w:rFonts w:ascii="仿宋_GB2312" w:hAnsi="仿宋_GB2312" w:cs="仿宋_GB2312" w:eastAsia="仿宋_GB2312"/>
          <w:sz w:val="28"/>
          <w:b/>
        </w:rPr>
        <w:t>陕西翰元工程咨询有限公司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2026年07月18日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陕西翰元工程咨询有限公司</w:t>
      </w:r>
      <w:r>
        <w:rPr>
          <w:rFonts w:ascii="仿宋_GB2312" w:hAnsi="仿宋_GB2312" w:cs="仿宋_GB2312" w:eastAsia="仿宋_GB2312"/>
        </w:rPr>
        <w:t>（以下简称“代理机构”）受</w:t>
      </w:r>
      <w:r>
        <w:rPr>
          <w:rFonts w:ascii="仿宋_GB2312" w:hAnsi="仿宋_GB2312" w:cs="仿宋_GB2312" w:eastAsia="仿宋_GB2312"/>
        </w:rPr>
        <w:t>大荔县体育运动中心</w:t>
      </w:r>
      <w:r>
        <w:rPr>
          <w:rFonts w:ascii="仿宋_GB2312" w:hAnsi="仿宋_GB2312" w:cs="仿宋_GB2312" w:eastAsia="仿宋_GB2312"/>
        </w:rPr>
        <w:t>委托，拟对</w:t>
      </w:r>
      <w:r>
        <w:rPr>
          <w:rFonts w:ascii="仿宋_GB2312" w:hAnsi="仿宋_GB2312" w:cs="仿宋_GB2312" w:eastAsia="仿宋_GB2312"/>
        </w:rPr>
        <w:t>大荔西城街道东七社区全民健身中心项目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HY-ZB-030-2026</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大荔西城街道东七社区全民健身中心项目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建造文化围墙，回填、硬化运动场地，装设太阳能路灯，建设篮球场、匹克球场、羽毛球场、乒乓球场等运动场地以及若干全民健身器材等。</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采购包1（大荔西城街道东七社区全民健身中心项目）：属于专门面向中小企业采购。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1、主体资格：在中华人民共和国境内注册，具有独立承担民事责任能力的法人、其他组织或自然人，具备从事本采购项目的经营范围和履约能力，提供合法有效的企业营业执照、法人证书或登记证书。</w:t>
      </w:r>
    </w:p>
    <w:p>
      <w:pPr>
        <w:pStyle w:val="null3"/>
      </w:pPr>
      <w:r>
        <w:rPr>
          <w:rFonts w:ascii="仿宋_GB2312" w:hAnsi="仿宋_GB2312" w:cs="仿宋_GB2312" w:eastAsia="仿宋_GB2312"/>
        </w:rPr>
        <w:t>2、授权委托：为企业法定代表人出具，信息真实合法有效，附有法定代表人和被委托人身份证复印件且人证相符（若法定代表人直接参加投标会则须提供法定代表人身份证明及法定代表人身份证复印件）；</w:t>
      </w:r>
    </w:p>
    <w:p>
      <w:pPr>
        <w:pStyle w:val="null3"/>
      </w:pPr>
      <w:r>
        <w:rPr>
          <w:rFonts w:ascii="仿宋_GB2312" w:hAnsi="仿宋_GB2312" w:cs="仿宋_GB2312" w:eastAsia="仿宋_GB2312"/>
        </w:rPr>
        <w:t>3、信用信息：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p>
      <w:pPr>
        <w:pStyle w:val="null3"/>
      </w:pPr>
      <w:r>
        <w:rPr>
          <w:rFonts w:ascii="仿宋_GB2312" w:hAnsi="仿宋_GB2312" w:cs="仿宋_GB2312" w:eastAsia="仿宋_GB2312"/>
        </w:rPr>
        <w:t>4、供应商资质要求：应具备市政公用工程总承包三级（含三级）及以上资质；具备合法有效的安全生产许可证；拟派项目经理须具备市政公用工程二级及以上注册建造师执业资格和有效的安全生产考核合格证书；且无在建项目的承诺或声明材料；</w:t>
      </w:r>
    </w:p>
    <w:p>
      <w:pPr>
        <w:pStyle w:val="null3"/>
      </w:pPr>
      <w:r>
        <w:rPr>
          <w:rFonts w:ascii="仿宋_GB2312" w:hAnsi="仿宋_GB2312" w:cs="仿宋_GB2312" w:eastAsia="仿宋_GB2312"/>
        </w:rPr>
        <w:t>5、具有履行合同的声明：提供具有履行本合同所必需的设备和专业技术能力的说明或承诺；</w:t>
      </w:r>
    </w:p>
    <w:p>
      <w:pPr>
        <w:pStyle w:val="null3"/>
      </w:pPr>
      <w:r>
        <w:rPr>
          <w:rFonts w:ascii="仿宋_GB2312" w:hAnsi="仿宋_GB2312" w:cs="仿宋_GB2312" w:eastAsia="仿宋_GB2312"/>
        </w:rPr>
        <w:t>6、无重大违法记录书面声明：参加政府采购活动前三年内在经营活动中无重大违法记录的书面声明；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大荔县体育运动中心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大荔县体育路14号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大荔县体育路14号</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大荔县体育运动中心经办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15091646254</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陕西翰元工程咨询有限公司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大荔县西城街道办西二环北段551号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715100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李沙沙</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13093977939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大荔县政府采购管理股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杨俊明</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0913-3256202</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采购包1：975,738.98元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代理服务费收费标准：参考《国家发展改革委关于进一步放开建设项目专业服务价格的通知》(发改价格(2015)299号)的要求，参照计价格(2002) 1980号、发改价格(2011)534号文件的计费标准，以中标(成交)价为基数计算，按照标准收取</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大荔县体育运动中心</w:t>
      </w:r>
      <w:r>
        <w:rPr>
          <w:rFonts w:ascii="仿宋_GB2312" w:hAnsi="仿宋_GB2312" w:cs="仿宋_GB2312" w:eastAsia="仿宋_GB2312"/>
        </w:rPr>
        <w:t>和</w:t>
      </w:r>
      <w:r>
        <w:rPr>
          <w:rFonts w:ascii="仿宋_GB2312" w:hAnsi="仿宋_GB2312" w:cs="仿宋_GB2312" w:eastAsia="仿宋_GB2312"/>
        </w:rPr>
        <w:t>陕西翰元工程咨询有限公司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大荔县体育运动中心</w:t>
      </w:r>
      <w:r>
        <w:rPr>
          <w:rFonts w:ascii="仿宋_GB2312" w:hAnsi="仿宋_GB2312" w:cs="仿宋_GB2312" w:eastAsia="仿宋_GB2312"/>
        </w:rPr>
        <w:t>负责解释。除上述磋商文件内容，其他内容由</w:t>
      </w:r>
      <w:r>
        <w:rPr>
          <w:rFonts w:ascii="仿宋_GB2312" w:hAnsi="仿宋_GB2312" w:cs="仿宋_GB2312" w:eastAsia="仿宋_GB2312"/>
        </w:rPr>
        <w:t>陕西翰元工程咨询有限公司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大荔县体育运动中心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陕西翰元工程咨询有限公司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使⽤该知识成果后，投标⼈需提供开发接⼝和开发⼿册等技术资料，并承诺提供⽆限期⽀持，采购⼈享有使⽤权（含采购⼈委托第三⽅在该项⽬后续开发的使⽤权）。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各项具体工作的质量标准和作业规范，按国家标准、行业标准、有关技术规范要求及招标文件、投标文件规定的内容执行。乙方提供的成果资料符合国家标准、行业标准以及有关技术规范要求。</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陕西翰元工程咨询有限公司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陕西翰元工程咨询有限公司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陕西翰元工程咨询有限公司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联系人：李沙沙</w:t>
      </w:r>
    </w:p>
    <w:p>
      <w:pPr>
        <w:pStyle w:val="null3"/>
      </w:pPr>
      <w:r>
        <w:rPr>
          <w:rFonts w:ascii="仿宋_GB2312" w:hAnsi="仿宋_GB2312" w:cs="仿宋_GB2312" w:eastAsia="仿宋_GB2312"/>
        </w:rPr>
        <w:t>联系电话：13093977939</w:t>
      </w:r>
    </w:p>
    <w:p>
      <w:pPr>
        <w:pStyle w:val="null3"/>
      </w:pPr>
      <w:r>
        <w:rPr>
          <w:rFonts w:ascii="仿宋_GB2312" w:hAnsi="仿宋_GB2312" w:cs="仿宋_GB2312" w:eastAsia="仿宋_GB2312"/>
        </w:rPr>
        <w:t>地址：大荔县西城街道办西二环北段551号</w:t>
      </w:r>
    </w:p>
    <w:p>
      <w:pPr>
        <w:pStyle w:val="null3"/>
      </w:pPr>
      <w:r>
        <w:rPr>
          <w:rFonts w:ascii="仿宋_GB2312" w:hAnsi="仿宋_GB2312" w:cs="仿宋_GB2312" w:eastAsia="仿宋_GB2312"/>
        </w:rPr>
        <w:t>邮编：715100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975,738.98</w:t>
      </w:r>
    </w:p>
    <w:p>
      <w:pPr>
        <w:pStyle w:val="null3"/>
      </w:pPr>
      <w:r>
        <w:rPr>
          <w:rFonts w:ascii="仿宋_GB2312" w:hAnsi="仿宋_GB2312" w:cs="仿宋_GB2312" w:eastAsia="仿宋_GB2312"/>
        </w:rPr>
        <w:t>采购包最高限价（元）: 975,738.98</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大荔西城街道东七社区全民健身中心项目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975,738.98</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标的名称：大荔西城街道东七社区全民健身中心项目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（1）施工范围：工程量清单内所含的全部内容</w:t>
            </w:r>
            <w:r>
              <w:br/>
            </w:r>
            <w:r>
              <w:rPr>
                <w:rFonts w:ascii="仿宋_GB2312" w:hAnsi="仿宋_GB2312" w:cs="仿宋_GB2312" w:eastAsia="仿宋_GB2312"/>
              </w:rPr>
              <w:t xml:space="preserve"> （2）工期：60日历天</w:t>
            </w:r>
            <w:r>
              <w:br/>
            </w:r>
            <w:r>
              <w:rPr>
                <w:rFonts w:ascii="仿宋_GB2312" w:hAnsi="仿宋_GB2312" w:cs="仿宋_GB2312" w:eastAsia="仿宋_GB2312"/>
              </w:rPr>
              <w:t xml:space="preserve"> （3）质量标准：符合国家现行有关施工质量验收规范“合格”要求。</w:t>
            </w:r>
            <w:r>
              <w:br/>
            </w:r>
            <w:r>
              <w:rPr>
                <w:rFonts w:ascii="仿宋_GB2312" w:hAnsi="仿宋_GB2312" w:cs="仿宋_GB2312" w:eastAsia="仿宋_GB2312"/>
              </w:rPr>
              <w:t xml:space="preserve"> （4）本工程计价采用广联达计价软件GCCP7.0</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符合国家现行有关施工质量验收规范“合格”要求。</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供应商资格证明文件.docx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1.提供2025年度完整审计报告，成立时间至提交投标文件截止时间不足1年的提供开标前一个月内基本存款账户开户银行出具的资信证明。2.社会保障资金缴纳证明：提供投标文件递交截止时间前6个月内任意一个月的社保缴费凭据或社保机构开具的社会保险参保缴费情况证明；依法不需要缴纳社会保障资金的供应商应提供相关文件证明。3.税收缴纳证明：提供投标文件递交截止 时间前6个月内任意一个月的缴费凭据；依法免税的应提供相关文件证明。供应商需在项目电子化交易系统中按要求上传相应证明文件并进行电子签章。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供应商资格证明文件.docx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w:t>
            </w:r>
          </w:p>
        </w:tc>
        <w:tc>
          <w:tcPr>
            <w:tcW w:type="dxa" w:w="3322"/>
          </w:tcPr>
          <w:p>
            <w:pPr>
              <w:pStyle w:val="null3"/>
            </w:pPr>
            <w:r>
              <w:rPr>
                <w:rFonts w:ascii="仿宋_GB2312" w:hAnsi="仿宋_GB2312" w:cs="仿宋_GB2312" w:eastAsia="仿宋_GB2312"/>
              </w:rPr>
              <w:t>在中华人民共和国境内注册，具有独立承担民事责任能力的法人、其他组织或自然人，具备从事本采购项目的经营范围和履约能力，提供合法有效的企业营业执照、法人证书或登记证书。</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授权委托</w:t>
            </w:r>
          </w:p>
        </w:tc>
        <w:tc>
          <w:tcPr>
            <w:tcW w:type="dxa" w:w="3322"/>
          </w:tcPr>
          <w:p>
            <w:pPr>
              <w:pStyle w:val="null3"/>
            </w:pPr>
            <w:r>
              <w:rPr>
                <w:rFonts w:ascii="仿宋_GB2312" w:hAnsi="仿宋_GB2312" w:cs="仿宋_GB2312" w:eastAsia="仿宋_GB2312"/>
              </w:rPr>
              <w:t>为企业法定代表人出具，信息真实合法有效，附有法定代表人和被委托人身份证复印件且人证相符（若法定代表人直接参加投标会则须提供法定代表人身份证明及法定代表人身份证复印件）；</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信用信息</w:t>
            </w:r>
          </w:p>
        </w:tc>
        <w:tc>
          <w:tcPr>
            <w:tcW w:type="dxa" w:w="3322"/>
          </w:tcPr>
          <w:p>
            <w:pPr>
              <w:pStyle w:val="null3"/>
            </w:pPr>
            <w:r>
              <w:rPr>
                <w:rFonts w:ascii="仿宋_GB2312" w:hAnsi="仿宋_GB2312" w:cs="仿宋_GB2312" w:eastAsia="仿宋_GB2312"/>
              </w:rPr>
              <w:t>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供应商资质要求</w:t>
            </w:r>
          </w:p>
        </w:tc>
        <w:tc>
          <w:tcPr>
            <w:tcW w:type="dxa" w:w="3322"/>
          </w:tcPr>
          <w:p>
            <w:pPr>
              <w:pStyle w:val="null3"/>
            </w:pPr>
            <w:r>
              <w:rPr>
                <w:rFonts w:ascii="仿宋_GB2312" w:hAnsi="仿宋_GB2312" w:cs="仿宋_GB2312" w:eastAsia="仿宋_GB2312"/>
              </w:rPr>
              <w:t>应具备市政公用工程总承包三级（含三级）及以上资质；具备合法有效的安全生产许可证；拟派项目经理须具备市政公用工程二级及以上注册建造师执业资格和有效的安全生产考核合格证书；且无在建项目的承诺或声明材料；</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具有履行合同的声明</w:t>
            </w:r>
          </w:p>
        </w:tc>
        <w:tc>
          <w:tcPr>
            <w:tcW w:type="dxa" w:w="3322"/>
          </w:tcPr>
          <w:p>
            <w:pPr>
              <w:pStyle w:val="null3"/>
            </w:pPr>
            <w:r>
              <w:rPr>
                <w:rFonts w:ascii="仿宋_GB2312" w:hAnsi="仿宋_GB2312" w:cs="仿宋_GB2312" w:eastAsia="仿宋_GB2312"/>
              </w:rPr>
              <w:t>提供具有履行本合同所必需的设备和专业技术能力的说明或承诺；</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无重大违法记录书面声明</w:t>
            </w:r>
          </w:p>
        </w:tc>
        <w:tc>
          <w:tcPr>
            <w:tcW w:type="dxa" w:w="3322"/>
          </w:tcPr>
          <w:p>
            <w:pPr>
              <w:pStyle w:val="null3"/>
            </w:pPr>
            <w:r>
              <w:rPr>
                <w:rFonts w:ascii="仿宋_GB2312" w:hAnsi="仿宋_GB2312" w:cs="仿宋_GB2312" w:eastAsia="仿宋_GB2312"/>
              </w:rPr>
              <w:t>参加政府采购活动前三年内在经营活动中无重大违法记录的书面声明；</w:t>
            </w:r>
          </w:p>
        </w:tc>
        <w:tc>
          <w:tcPr>
            <w:tcW w:type="dxa" w:w="1661"/>
          </w:tcPr>
          <w:p>
            <w:pPr>
              <w:pStyle w:val="null3"/>
            </w:pPr>
            <w:r>
              <w:rPr>
                <w:rFonts w:ascii="仿宋_GB2312" w:hAnsi="仿宋_GB2312" w:cs="仿宋_GB2312" w:eastAsia="仿宋_GB2312"/>
              </w:rPr>
              <w:t>供应商资格证明文件.docx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响应文件的有效性</w:t>
            </w:r>
          </w:p>
        </w:tc>
        <w:tc>
          <w:tcPr>
            <w:tcW w:type="dxa" w:w="3322"/>
          </w:tcPr>
          <w:p>
            <w:pPr>
              <w:pStyle w:val="null3"/>
            </w:pPr>
            <w:r>
              <w:rPr>
                <w:rFonts w:ascii="仿宋_GB2312" w:hAnsi="仿宋_GB2312" w:cs="仿宋_GB2312" w:eastAsia="仿宋_GB2312"/>
              </w:rPr>
              <w:t>响应文件的签署、加盖印章合格、有效；投标有效期与授权期限满足磋商文件规定</w:t>
            </w:r>
          </w:p>
        </w:tc>
        <w:tc>
          <w:tcPr>
            <w:tcW w:type="dxa" w:w="1661"/>
          </w:tcPr>
          <w:p>
            <w:pPr>
              <w:pStyle w:val="null3"/>
            </w:pPr>
            <w:r>
              <w:rPr>
                <w:rFonts w:ascii="仿宋_GB2312" w:hAnsi="仿宋_GB2312" w:cs="仿宋_GB2312" w:eastAsia="仿宋_GB2312"/>
              </w:rPr>
              <w:t>已标价工程量清单 中小企业声明函 施工组织设计.docx 强制优先采购产品承诺函 响应文件封面 项目管理机构组成表 残疾人福利性单位声明函 供应商类似项目业绩一览表 供应商资格证明文件.docx 响应函 主要人员简历表 监狱企业的证明文件 技术、服务、合同条款及其他商务要求应答表.docx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响应文件的完整性</w:t>
            </w:r>
          </w:p>
        </w:tc>
        <w:tc>
          <w:tcPr>
            <w:tcW w:type="dxa" w:w="3322"/>
          </w:tcPr>
          <w:p>
            <w:pPr>
              <w:pStyle w:val="null3"/>
            </w:pPr>
            <w:r>
              <w:rPr>
                <w:rFonts w:ascii="仿宋_GB2312" w:hAnsi="仿宋_GB2312" w:cs="仿宋_GB2312" w:eastAsia="仿宋_GB2312"/>
              </w:rPr>
              <w:t>响应文件没有重大缺项</w:t>
            </w:r>
          </w:p>
        </w:tc>
        <w:tc>
          <w:tcPr>
            <w:tcW w:type="dxa" w:w="1661"/>
          </w:tcPr>
          <w:p>
            <w:pPr>
              <w:pStyle w:val="null3"/>
            </w:pPr>
            <w:r>
              <w:rPr>
                <w:rFonts w:ascii="仿宋_GB2312" w:hAnsi="仿宋_GB2312" w:cs="仿宋_GB2312" w:eastAsia="仿宋_GB2312"/>
              </w:rPr>
              <w:t>已标价工程量清单 中小企业声明函 施工组织设计.docx 强制优先采购产品承诺函 响应文件封面 项目管理机构组成表 残疾人福利性单位声明函 供应商类似项目业绩一览表 供应商资格证明文件.docx 响应函 主要人员简历表 监狱企业的证明文件 技术、服务、合同条款及其他商务要求应答表.docx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文件响应情况</w:t>
            </w:r>
          </w:p>
        </w:tc>
        <w:tc>
          <w:tcPr>
            <w:tcW w:type="dxa" w:w="3322"/>
          </w:tcPr>
          <w:p>
            <w:pPr>
              <w:pStyle w:val="null3"/>
            </w:pPr>
            <w:r>
              <w:rPr>
                <w:rFonts w:ascii="仿宋_GB2312" w:hAnsi="仿宋_GB2312" w:cs="仿宋_GB2312" w:eastAsia="仿宋_GB2312"/>
              </w:rPr>
              <w:t>（1）符合商务、技术要求，不存在重大负偏离（2）未附有采购人不能接受的条件 （3）符合磋商文件规定的其他实质性要求 （4）未违反《中华人民共和国政府采购法》和其他相关法律、法规的规定</w:t>
            </w:r>
          </w:p>
        </w:tc>
        <w:tc>
          <w:tcPr>
            <w:tcW w:type="dxa" w:w="1661"/>
          </w:tcPr>
          <w:p>
            <w:pPr>
              <w:pStyle w:val="null3"/>
            </w:pPr>
            <w:r>
              <w:rPr>
                <w:rFonts w:ascii="仿宋_GB2312" w:hAnsi="仿宋_GB2312" w:cs="仿宋_GB2312" w:eastAsia="仿宋_GB2312"/>
              </w:rPr>
              <w:t>已标价工程量清单 中小企业声明函 施工组织设计.docx 强制优先采购产品承诺函 响应文件封面 项目管理机构组成表 残疾人福利性单位声明函 供应商类似项目业绩一览表 供应商资格证明文件.docx 响应函 主要人员简历表 监狱企业的证明文件 技术、服务、合同条款及其他商务要求应答表.docx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磋商报价没有超出最高限价</w:t>
            </w:r>
          </w:p>
        </w:tc>
        <w:tc>
          <w:tcPr>
            <w:tcW w:type="dxa" w:w="1661"/>
          </w:tcPr>
          <w:p>
            <w:pPr>
              <w:pStyle w:val="null3"/>
            </w:pPr>
            <w:r>
              <w:rPr>
                <w:rFonts w:ascii="仿宋_GB2312" w:hAnsi="仿宋_GB2312" w:cs="仿宋_GB2312" w:eastAsia="仿宋_GB2312"/>
              </w:rPr>
              <w:t>响应文件封面 已标价工程量清单</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施工部署</w:t>
            </w:r>
          </w:p>
        </w:tc>
        <w:tc>
          <w:tcPr>
            <w:tcW w:type="dxa" w:w="2492"/>
          </w:tcPr>
          <w:p>
            <w:pPr>
              <w:pStyle w:val="null3"/>
            </w:pPr>
            <w:r>
              <w:rPr>
                <w:rFonts w:ascii="仿宋_GB2312" w:hAnsi="仿宋_GB2312" w:cs="仿宋_GB2312" w:eastAsia="仿宋_GB2312"/>
              </w:rPr>
              <w:t>一、评审内容供应商针对本项目编制完善的施工部署，内容包含：①施工目标:包含成本目标、工期目标及质量目标②施工准备：包含技术准备、材料准备、机械准备及机具准备③施工安排：包含现场围挡及出入口管理、消防及道路安排。二、评审标准1、完整性：方案必须全面，对评审内容中的各项要求有详细描述；2、可实施性：切合本项目实际情况，提出步骤清晰、合理的方案；3、针对性：方案能够紧扣项目实际情况，内容科学合理。三、赋分标准（满分9分）①施工目标：每完全满足一个评审标准得1分，满分3分；②施工准备：每完全满足一个评审标准得1分，满分3分；③施工安排：每完全满足一个评审标准得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进度计划</w:t>
            </w:r>
          </w:p>
        </w:tc>
        <w:tc>
          <w:tcPr>
            <w:tcW w:type="dxa" w:w="2492"/>
          </w:tcPr>
          <w:p>
            <w:pPr>
              <w:pStyle w:val="null3"/>
            </w:pPr>
            <w:r>
              <w:rPr>
                <w:rFonts w:ascii="仿宋_GB2312" w:hAnsi="仿宋_GB2312" w:cs="仿宋_GB2312" w:eastAsia="仿宋_GB2312"/>
              </w:rPr>
              <w:t>一、评审内容供应商针对本项目编制完善的进度计划，内容包含：①项目总进度：包含施工及采购分项节点控制及进度计划安排②进度保障措施。二、评审标准1、完整性：方案必须全面，对评审内容中的各项要求有详细描述；2、可实施性：切合本项目实际情况，提出步骤清晰、合理的方案；3、针对性：方案能够紧扣项目实际情况，内容科学合理。三、赋分标准（满分6分）①项目总进度：每完全满足一个评审标准得1分，满分3分；②进度保障措施：每完全满足一个评审标准得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分部分项工程施工方案</w:t>
            </w:r>
          </w:p>
        </w:tc>
        <w:tc>
          <w:tcPr>
            <w:tcW w:type="dxa" w:w="2492"/>
          </w:tcPr>
          <w:p>
            <w:pPr>
              <w:pStyle w:val="null3"/>
            </w:pPr>
            <w:r>
              <w:rPr>
                <w:rFonts w:ascii="仿宋_GB2312" w:hAnsi="仿宋_GB2312" w:cs="仿宋_GB2312" w:eastAsia="仿宋_GB2312"/>
              </w:rPr>
              <w:t>一、评审内容供应商针对本项目编制完善的施工方案，内容包含：①工程重难点及解决措施②分部分项工程施工方法③施工质量通病防治措施。二、评审标准1、完整性：方案必须全面，对评审内容中的各项要求有详细描述；2、可实施性：切合本项目实际情况，提出步骤清晰、合理的方案；3、针对性：方案能够紧扣项目实际情况，内容科学合理。三、赋分标准（满分9分）①重难点及解决措施：每完全满足一个评审标准得1分，满分3分；②施工方法：每完全满足一个评审标准得1分，满分3分；③质量通病防治措施：每完全满足一个评审标准得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一、评审内容供应商针对本项目工程编制完善的质量保证措施，内容包含：①质量目标管理体系②施工质量检验制度③技术组织措施④材料储存方案。二、评审标准1、完整性：方案必须全面，对评审内容中的各项要求有详细描述；2、可实施性：切合本项目实际情况，提出步骤清晰、合理的方案；3、针对性：方案能够紧扣项目实际情况，内容科学合理。三、赋分标准（满分12分）①质量目标管理体系：每完全满足一个评审标准得1分，满分3分；②施工质量检验制度：每完全满足一个评审标准得1分，满分3分；③技术组织措施：每完全满足一个评审标准得1分，满分3分；④材料储存方案：每完全满足一个评审标准得1分，满分3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文明施工措施</w:t>
            </w:r>
          </w:p>
        </w:tc>
        <w:tc>
          <w:tcPr>
            <w:tcW w:type="dxa" w:w="2492"/>
          </w:tcPr>
          <w:p>
            <w:pPr>
              <w:pStyle w:val="null3"/>
            </w:pPr>
            <w:r>
              <w:rPr>
                <w:rFonts w:ascii="仿宋_GB2312" w:hAnsi="仿宋_GB2312" w:cs="仿宋_GB2312" w:eastAsia="仿宋_GB2312"/>
              </w:rPr>
              <w:t>一、评审内容供应商针对本项目编制完整的文明施工措施，内容包含：①文明施工管理目标及技术措施②文明施工现场管理：材料管理、防扰民措施。二、评审标准1、完整性：方案必须全面，对评审内容中的各项要求有详细描述；2、可实施性：切合本项目实际情况，提出步骤清晰、合理的方案；3、针对性：方案能够紧扣项目实际情况，内容科学合理。三、赋分标准（满分6分）①文明施工管理目标及技术措施：每完全满足一个评审标准得1分，满分3分；②文明施工现场管理：每完全满足一个评审标准得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安全施工措施</w:t>
            </w:r>
          </w:p>
        </w:tc>
        <w:tc>
          <w:tcPr>
            <w:tcW w:type="dxa" w:w="2492"/>
          </w:tcPr>
          <w:p>
            <w:pPr>
              <w:pStyle w:val="null3"/>
            </w:pPr>
            <w:r>
              <w:rPr>
                <w:rFonts w:ascii="仿宋_GB2312" w:hAnsi="仿宋_GB2312" w:cs="仿宋_GB2312" w:eastAsia="仿宋_GB2312"/>
              </w:rPr>
              <w:t>一、评审内容供应商针对本项目编制完整的安全施工措施，内容包含：①安全管理体系②安全责任归属划分③安全教育及防护：安全教育培训、施工人员安全警示服和安全帽穿配要求。二、评审标准1、完整性：方案必须全面，对评审内容中的各项要求有详细描述；2、可实施性：切合本项目实际情况，提出步骤清晰、合理的方案；3、针对性：方案能够紧扣项目实际情况，内容科学合理。三、赋分标准（满分6分）①安全管理体系：每完全满足一个评审标准得1，满分2分；②安全责任归属划分：每完全满足一个评审标准得1分，满分2分；③安全教育及防护：每完全满足一个评审标准得1分，满分2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资源配置计划</w:t>
            </w:r>
          </w:p>
        </w:tc>
        <w:tc>
          <w:tcPr>
            <w:tcW w:type="dxa" w:w="2492"/>
          </w:tcPr>
          <w:p>
            <w:pPr>
              <w:pStyle w:val="null3"/>
            </w:pPr>
            <w:r>
              <w:rPr>
                <w:rFonts w:ascii="仿宋_GB2312" w:hAnsi="仿宋_GB2312" w:cs="仿宋_GB2312" w:eastAsia="仿宋_GB2312"/>
              </w:rPr>
              <w:t>一、评审内容针对本项目提供资源配置计划，内容包含：①拟投入的主要施工机械设备计划②主要材料进场计划③劳动力投入计划。二、评审标准1、完整性：方案须全面，对评审内容中的各项要求有详细描述及说明；2、可实施性：切合本项目实际情况，实施步骤清晰、合理；3、针对性：方案能够紧扣项目实际情况，内容科学合理。三、赋分标准（满分6分）①拟投入的主要施工机械设备计划：每完全满足一个评审标准得1分，满分2分；②主要材料进场计划：每完全满足一个评审标准得1分，满分2分；③劳动力投入计划：每完全满足一个评审标准得1分，满分2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新材料、新工艺</w:t>
            </w:r>
          </w:p>
        </w:tc>
        <w:tc>
          <w:tcPr>
            <w:tcW w:type="dxa" w:w="2492"/>
          </w:tcPr>
          <w:p>
            <w:pPr>
              <w:pStyle w:val="null3"/>
            </w:pPr>
            <w:r>
              <w:rPr>
                <w:rFonts w:ascii="仿宋_GB2312" w:hAnsi="仿宋_GB2312" w:cs="仿宋_GB2312" w:eastAsia="仿宋_GB2312"/>
              </w:rPr>
              <w:t>一、评审内容针对本项目具有①新材料的应用情况②新技术和新工艺的应用情况。二、评审标准1、完整性：方案必须全面，对评审内容中的各项要求有详细描述；2、可实施性：切合本项目实际情况，提出步骤清晰、合理的方案；3、针对性：方案能够紧扣项目实际情况，内容科学合理。三、赋分标准（满分6分）①新材料的应用情况：每完全满足一个评审标准得1分，满分3分；②新技术和新工艺的应用情况：每完全满足一个评审标准得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项目管理机构</w:t>
            </w:r>
          </w:p>
        </w:tc>
        <w:tc>
          <w:tcPr>
            <w:tcW w:type="dxa" w:w="2492"/>
          </w:tcPr>
          <w:p>
            <w:pPr>
              <w:pStyle w:val="null3"/>
            </w:pPr>
            <w:r>
              <w:rPr>
                <w:rFonts w:ascii="仿宋_GB2312" w:hAnsi="仿宋_GB2312" w:cs="仿宋_GB2312" w:eastAsia="仿宋_GB2312"/>
              </w:rPr>
              <w:t>针对本项目编制科学的项目管理机构，拟派的人员（施工员、质量员、材料员、安全员、预算员）配备清单（至少包含具体成员姓名、年龄、职业资格证书、从业工作年限、岗位），得5分。缺少证书一人扣1分，扣完为止。缺项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施工组织设计.docx</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项目管理机构组成表</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01月至今类似工程项目业绩,以合同签订时间为准，每提供一份业绩得1分，满分5分。注:(1)以合同或者中标通知书为准，复印件清楚有效加盖公章，否则不作为评审依据。(2)同一工程有多个标段符合要求的，只按一个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实质性要求且最终报价最低的供应商的价格为磋商基准价，其价格分为满分30分。磋商报价得分=（磋商基准价/最终磋商报价）×价格权值×100%磋商报价不完整的，不进入磋商基准价的计算，本项得0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详见附件：供应商资格证明文件.docx</w:t>
      </w:r>
    </w:p>
    <w:p>
      <w:pPr>
        <w:pStyle w:val="null3"/>
        <w:ind w:firstLine="960"/>
      </w:pPr>
      <w:r>
        <w:rPr>
          <w:rFonts w:ascii="仿宋_GB2312" w:hAnsi="仿宋_GB2312" w:cs="仿宋_GB2312" w:eastAsia="仿宋_GB2312"/>
        </w:rPr>
        <w:t>详见附件：技术、服务、合同条款及其他商务要求应答表.docx</w:t>
      </w:r>
    </w:p>
    <w:p>
      <w:pPr>
        <w:pStyle w:val="null3"/>
        <w:ind w:firstLine="960"/>
      </w:pPr>
      <w:r>
        <w:rPr>
          <w:rFonts w:ascii="仿宋_GB2312" w:hAnsi="仿宋_GB2312" w:cs="仿宋_GB2312" w:eastAsia="仿宋_GB2312"/>
        </w:rPr>
        <w:t>详见附件：施工组织设计.docx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详见附件：合同（参考）.docx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