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31D888">
      <w:pPr>
        <w:jc w:val="center"/>
        <w:rPr>
          <w:rFonts w:hint="eastAsia"/>
          <w:b/>
          <w:bCs/>
          <w:sz w:val="32"/>
          <w:szCs w:val="32"/>
          <w:lang w:val="en-US" w:eastAsia="zh-CN"/>
        </w:rPr>
      </w:pPr>
      <w:r>
        <w:rPr>
          <w:rFonts w:hint="eastAsia"/>
          <w:b/>
          <w:bCs/>
          <w:sz w:val="32"/>
          <w:szCs w:val="32"/>
          <w:lang w:val="en-US" w:eastAsia="zh-CN"/>
        </w:rPr>
        <w:t>采购需求</w:t>
      </w:r>
    </w:p>
    <w:tbl>
      <w:tblPr>
        <w:tblStyle w:val="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2"/>
        <w:gridCol w:w="943"/>
        <w:gridCol w:w="1573"/>
        <w:gridCol w:w="5176"/>
      </w:tblGrid>
      <w:tr w14:paraId="731285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2" w:type="dxa"/>
            <w:vAlign w:val="center"/>
          </w:tcPr>
          <w:p w14:paraId="71B607F6">
            <w:pPr>
              <w:pStyle w:val="5"/>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参数性质</w:t>
            </w:r>
          </w:p>
        </w:tc>
        <w:tc>
          <w:tcPr>
            <w:tcW w:w="943" w:type="dxa"/>
            <w:vAlign w:val="center"/>
          </w:tcPr>
          <w:p w14:paraId="3E43CAF8">
            <w:pPr>
              <w:pStyle w:val="5"/>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序号</w:t>
            </w:r>
          </w:p>
        </w:tc>
        <w:tc>
          <w:tcPr>
            <w:tcW w:w="1573" w:type="dxa"/>
            <w:vAlign w:val="center"/>
          </w:tcPr>
          <w:p w14:paraId="1D284BB6">
            <w:pPr>
              <w:pStyle w:val="5"/>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技术要求名称</w:t>
            </w:r>
          </w:p>
        </w:tc>
        <w:tc>
          <w:tcPr>
            <w:tcW w:w="5176" w:type="dxa"/>
            <w:vAlign w:val="center"/>
          </w:tcPr>
          <w:p w14:paraId="074E940C">
            <w:pPr>
              <w:pStyle w:val="5"/>
              <w:jc w:val="center"/>
              <w:rPr>
                <w:rFonts w:hint="eastAsia" w:ascii="仿宋_GB2312" w:hAnsi="仿宋_GB2312" w:eastAsia="仿宋_GB2312" w:cs="仿宋_GB2312"/>
                <w:sz w:val="20"/>
                <w:szCs w:val="20"/>
                <w:highlight w:val="none"/>
                <w:lang w:eastAsia="zh-CN"/>
              </w:rPr>
            </w:pPr>
            <w:bookmarkStart w:id="0" w:name="_GoBack"/>
            <w:bookmarkEnd w:id="0"/>
            <w:r>
              <w:rPr>
                <w:rFonts w:hint="eastAsia" w:ascii="仿宋_GB2312" w:hAnsi="仿宋_GB2312" w:eastAsia="仿宋_GB2312" w:cs="仿宋_GB2312"/>
                <w:sz w:val="20"/>
                <w:szCs w:val="20"/>
                <w:highlight w:val="none"/>
              </w:rPr>
              <w:t>技术参数与性能指标</w:t>
            </w:r>
          </w:p>
        </w:tc>
      </w:tr>
      <w:tr w14:paraId="214BBE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752" w:type="dxa"/>
          </w:tcPr>
          <w:p w14:paraId="441273BA">
            <w:pPr>
              <w:rPr>
                <w:rFonts w:hint="eastAsia" w:ascii="仿宋_GB2312" w:hAnsi="仿宋_GB2312" w:eastAsia="仿宋_GB2312" w:cs="仿宋_GB2312"/>
                <w:sz w:val="20"/>
                <w:szCs w:val="20"/>
                <w:highlight w:val="none"/>
              </w:rPr>
            </w:pPr>
          </w:p>
        </w:tc>
        <w:tc>
          <w:tcPr>
            <w:tcW w:w="943" w:type="dxa"/>
            <w:vAlign w:val="center"/>
          </w:tcPr>
          <w:p w14:paraId="4164BEE3">
            <w:pPr>
              <w:pStyle w:val="5"/>
              <w:jc w:val="cente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1</w:t>
            </w:r>
          </w:p>
        </w:tc>
        <w:tc>
          <w:tcPr>
            <w:tcW w:w="1573" w:type="dxa"/>
            <w:vAlign w:val="center"/>
          </w:tcPr>
          <w:p w14:paraId="762EEF4B">
            <w:pPr>
              <w:pStyle w:val="5"/>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项目概况</w:t>
            </w:r>
          </w:p>
        </w:tc>
        <w:tc>
          <w:tcPr>
            <w:tcW w:w="5176" w:type="dxa"/>
          </w:tcPr>
          <w:p w14:paraId="001E60AB">
            <w:pPr>
              <w:pStyle w:val="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通信系统是陕西省高速公路信息系统重要的组成部分，承载着全省高速公路联网收费、综合监控、程控交换及视频会议等业务的数据传输，设备出现故障后，对各项依赖高速公路通信系统的业务会产生直接的影响。为保障通信系统持续正常运行，需在国产化要求下进行相应设备采购。</w:t>
            </w:r>
            <w:r>
              <w:rPr>
                <w:rFonts w:hint="eastAsia" w:ascii="仿宋_GB2312" w:hAnsi="仿宋_GB2312" w:eastAsia="仿宋_GB2312" w:cs="仿宋_GB2312"/>
                <w:sz w:val="20"/>
                <w:szCs w:val="20"/>
                <w:highlight w:val="none"/>
                <w:lang w:val="en-US" w:eastAsia="zh-CN"/>
              </w:rPr>
              <w:t>设备</w:t>
            </w:r>
            <w:r>
              <w:rPr>
                <w:rFonts w:hint="eastAsia" w:ascii="仿宋_GB2312" w:hAnsi="仿宋_GB2312" w:eastAsia="仿宋_GB2312" w:cs="仿宋_GB2312"/>
                <w:sz w:val="20"/>
                <w:szCs w:val="20"/>
                <w:highlight w:val="none"/>
              </w:rPr>
              <w:t>支持高速</w:t>
            </w:r>
            <w:r>
              <w:rPr>
                <w:rFonts w:hint="eastAsia" w:ascii="仿宋_GB2312" w:hAnsi="仿宋_GB2312" w:eastAsia="仿宋_GB2312" w:cs="仿宋_GB2312"/>
                <w:sz w:val="20"/>
                <w:szCs w:val="20"/>
                <w:highlight w:val="none"/>
                <w:lang w:val="en-US" w:eastAsia="zh-CN"/>
              </w:rPr>
              <w:t>收费中心</w:t>
            </w:r>
            <w:r>
              <w:rPr>
                <w:rFonts w:hint="eastAsia" w:ascii="仿宋_GB2312" w:hAnsi="仿宋_GB2312" w:eastAsia="仿宋_GB2312" w:cs="仿宋_GB2312"/>
                <w:sz w:val="20"/>
                <w:szCs w:val="20"/>
                <w:highlight w:val="none"/>
              </w:rPr>
              <w:t>传输网管统一纳管</w:t>
            </w:r>
            <w:r>
              <w:rPr>
                <w:rFonts w:hint="eastAsia" w:ascii="仿宋_GB2312" w:hAnsi="仿宋_GB2312" w:eastAsia="仿宋_GB2312" w:cs="仿宋_GB2312"/>
                <w:sz w:val="20"/>
                <w:szCs w:val="20"/>
                <w:highlight w:val="none"/>
                <w:lang w:eastAsia="zh-CN"/>
              </w:rPr>
              <w:t>（</w:t>
            </w:r>
            <w:r>
              <w:rPr>
                <w:rFonts w:hint="eastAsia" w:ascii="仿宋_GB2312" w:hAnsi="仿宋_GB2312" w:eastAsia="仿宋_GB2312" w:cs="仿宋_GB2312"/>
                <w:sz w:val="20"/>
                <w:szCs w:val="20"/>
                <w:highlight w:val="none"/>
                <w:lang w:val="en-US" w:eastAsia="zh-CN"/>
              </w:rPr>
              <w:t>供应商</w:t>
            </w:r>
            <w:r>
              <w:rPr>
                <w:rFonts w:hint="eastAsia" w:ascii="仿宋_GB2312" w:hAnsi="仿宋_GB2312" w:eastAsia="仿宋_GB2312" w:cs="仿宋_GB2312"/>
                <w:sz w:val="20"/>
                <w:szCs w:val="20"/>
                <w:highlight w:val="none"/>
              </w:rPr>
              <w:t>提供承诺函</w:t>
            </w:r>
            <w:r>
              <w:rPr>
                <w:rFonts w:hint="eastAsia" w:ascii="仿宋_GB2312" w:hAnsi="仿宋_GB2312" w:eastAsia="仿宋_GB2312" w:cs="仿宋_GB2312"/>
                <w:sz w:val="20"/>
                <w:szCs w:val="20"/>
                <w:highlight w:val="none"/>
                <w:lang w:eastAsia="zh-CN"/>
              </w:rPr>
              <w:t>）</w:t>
            </w:r>
            <w:r>
              <w:rPr>
                <w:rFonts w:hint="eastAsia" w:ascii="仿宋_GB2312" w:hAnsi="仿宋_GB2312" w:eastAsia="仿宋_GB2312" w:cs="仿宋_GB2312"/>
                <w:sz w:val="20"/>
                <w:szCs w:val="20"/>
                <w:highlight w:val="none"/>
              </w:rPr>
              <w:t>。</w:t>
            </w:r>
          </w:p>
        </w:tc>
      </w:tr>
      <w:tr w14:paraId="56FE37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2" w:type="dxa"/>
          </w:tcPr>
          <w:p w14:paraId="41AD415D">
            <w:pPr>
              <w:rPr>
                <w:rFonts w:hint="eastAsia" w:ascii="仿宋_GB2312" w:hAnsi="仿宋_GB2312" w:eastAsia="仿宋_GB2312" w:cs="仿宋_GB2312"/>
                <w:sz w:val="20"/>
                <w:szCs w:val="20"/>
                <w:highlight w:val="none"/>
              </w:rPr>
            </w:pPr>
          </w:p>
        </w:tc>
        <w:tc>
          <w:tcPr>
            <w:tcW w:w="943" w:type="dxa"/>
            <w:vAlign w:val="center"/>
          </w:tcPr>
          <w:p w14:paraId="59CBB878">
            <w:pPr>
              <w:pStyle w:val="5"/>
              <w:jc w:val="cente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2</w:t>
            </w:r>
          </w:p>
        </w:tc>
        <w:tc>
          <w:tcPr>
            <w:tcW w:w="1573" w:type="dxa"/>
            <w:vAlign w:val="center"/>
          </w:tcPr>
          <w:p w14:paraId="6653FA01">
            <w:pPr>
              <w:pStyle w:val="5"/>
              <w:jc w:val="both"/>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采购内容</w:t>
            </w:r>
          </w:p>
          <w:p w14:paraId="31B6ACC0">
            <w:pPr>
              <w:pStyle w:val="5"/>
              <w:jc w:val="both"/>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及需求</w:t>
            </w:r>
          </w:p>
        </w:tc>
        <w:tc>
          <w:tcPr>
            <w:tcW w:w="5176" w:type="dxa"/>
          </w:tcPr>
          <w:p w14:paraId="5C566F56">
            <w:pPr>
              <w:pStyle w:val="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（一）采购内容</w:t>
            </w:r>
          </w:p>
          <w:p w14:paraId="3B874A2A">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rPr>
              <w:t>本次采购需符合本国产品标准</w:t>
            </w:r>
            <w:r>
              <w:rPr>
                <w:rFonts w:hint="eastAsia" w:ascii="仿宋_GB2312" w:hAnsi="仿宋_GB2312" w:eastAsia="仿宋_GB2312" w:cs="仿宋_GB2312"/>
                <w:sz w:val="20"/>
                <w:szCs w:val="20"/>
                <w:highlight w:val="none"/>
                <w:lang w:eastAsia="zh-CN"/>
              </w:rPr>
              <w:t>。</w:t>
            </w:r>
            <w:r>
              <w:rPr>
                <w:rFonts w:hint="eastAsia" w:ascii="仿宋_GB2312" w:hAnsi="仿宋_GB2312" w:eastAsia="仿宋_GB2312" w:cs="仿宋_GB2312"/>
                <w:sz w:val="20"/>
                <w:szCs w:val="20"/>
                <w:highlight w:val="none"/>
                <w:lang w:val="en-US" w:eastAsia="zh-CN"/>
              </w:rPr>
              <w:t>具体</w:t>
            </w:r>
            <w:r>
              <w:rPr>
                <w:rFonts w:hint="eastAsia" w:ascii="仿宋_GB2312" w:hAnsi="仿宋_GB2312" w:eastAsia="仿宋_GB2312" w:cs="仿宋_GB2312"/>
                <w:sz w:val="20"/>
                <w:szCs w:val="20"/>
                <w:highlight w:val="none"/>
              </w:rPr>
              <w:t>名称及技术参数、数量具体如下：</w:t>
            </w:r>
          </w:p>
          <w:p w14:paraId="6C40D3BD">
            <w:pPr>
              <w:pStyle w:val="5"/>
              <w:rPr>
                <w:rFonts w:hint="default"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1</w:t>
            </w:r>
            <w:r>
              <w:rPr>
                <w:rFonts w:hint="eastAsia" w:ascii="仿宋_GB2312" w:hAnsi="仿宋_GB2312" w:eastAsia="仿宋_GB2312" w:cs="仿宋_GB2312"/>
                <w:b/>
                <w:bCs/>
                <w:sz w:val="20"/>
                <w:szCs w:val="20"/>
                <w:highlight w:val="none"/>
                <w:lang w:val="en-US" w:eastAsia="zh-CN"/>
              </w:rPr>
              <w:t>、总装插框 数量：1 （核心产品）</w:t>
            </w:r>
          </w:p>
          <w:p w14:paraId="00218C3C">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①业务槽位数量不小于10个。</w:t>
            </w:r>
          </w:p>
          <w:p w14:paraId="7D2AF754">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②设备需适应长期0～45℃工作环境，采用前维护设计，具备防尘、抗震性能，所有空槽位需配备专用面板，保障设备运行稳定性。</w:t>
            </w:r>
          </w:p>
          <w:p w14:paraId="3F576957">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③光电一体化设计，OTN融合平台，满足各种应用场景。</w:t>
            </w:r>
          </w:p>
          <w:p w14:paraId="0A656594">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④单纤容量最大可达96Tbit/s。</w:t>
            </w:r>
          </w:p>
          <w:p w14:paraId="315D8763">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⑤C+L一体化调度，频谱覆盖C波段@6THz+L波段@6THz。</w:t>
            </w:r>
          </w:p>
          <w:p w14:paraId="29410B3F">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⑥具备电信设备进网许可证。</w:t>
            </w:r>
          </w:p>
          <w:p w14:paraId="47501D90">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2、控制与通信板 数量：2</w:t>
            </w:r>
          </w:p>
          <w:p w14:paraId="67F37487">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①带时钟功能的系统辅助通信板。</w:t>
            </w:r>
          </w:p>
          <w:p w14:paraId="5F3812AF">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②实现板间、子架间通信功能，子架内管理功能。</w:t>
            </w:r>
          </w:p>
          <w:p w14:paraId="399C3B61">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③支持通过IP over DCC和其他协议栈实现各个网元之间的互联通信。</w:t>
            </w:r>
          </w:p>
          <w:p w14:paraId="4EEDBF80">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3、光监控信道及时钟传送板 数量：1</w:t>
            </w:r>
          </w:p>
          <w:p w14:paraId="6BAD14D9">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①四路光监控信道及时钟传送单元（带公务电话），完成光监控通道信号的收、发控制与处理。</w:t>
            </w:r>
          </w:p>
          <w:p w14:paraId="4591A15A">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②支持现网光监控信道对接及速率匹配。</w:t>
            </w:r>
          </w:p>
          <w:p w14:paraId="074633CC">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4、合波板 数量：1</w:t>
            </w:r>
          </w:p>
          <w:p w14:paraId="664A959B">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①支持实现将最多60路单波长光信号复用进1路合波光信号。可将最多60路100GHz固定间隔偶波光信号复用进1路合波信号。</w:t>
            </w:r>
          </w:p>
          <w:p w14:paraId="7FE4F19E">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②提供在线监测光口，支持在不中断业务的情况下，监测合波光信号的光谱和光性能。</w:t>
            </w:r>
          </w:p>
          <w:p w14:paraId="3AC751C8">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5、分波板 数量：1</w:t>
            </w:r>
          </w:p>
          <w:p w14:paraId="6850AD3B">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①支持将1路合波光信号解复用为最多60路单波长光信号。</w:t>
            </w:r>
          </w:p>
          <w:p w14:paraId="43A2EB7D">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②提供在线监测光口，支持在不中断业务的情况下，监测合波光信号的光谱和光性能。</w:t>
            </w:r>
          </w:p>
          <w:p w14:paraId="16DC378C">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6、光放基板 数量：1</w:t>
            </w:r>
          </w:p>
          <w:p w14:paraId="40974E2F">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①扩展C波段双路可插拔光放基板，可放大扩展C波段的光信号，总波长范围覆盖1528.8nm～1567.6nm。</w:t>
            </w:r>
          </w:p>
          <w:p w14:paraId="6BE59E46">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②可以支持系统实现不同跨段的无电中继传输。</w:t>
            </w:r>
          </w:p>
          <w:p w14:paraId="6599542A">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③支持增益锁定模式、功率锁定模式和APC模式。</w:t>
            </w:r>
          </w:p>
          <w:p w14:paraId="3A456FBC">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7、光放大板 数量：2</w:t>
            </w:r>
          </w:p>
          <w:p w14:paraId="0B31FF4F">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①光放大单板放大能力需满足本次项目光缆实际衰耗。</w:t>
            </w:r>
          </w:p>
          <w:p w14:paraId="0F605F06">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②具备自动功率控制、光功率实时监测、自动关断功能。</w:t>
            </w:r>
          </w:p>
          <w:p w14:paraId="5A950271">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③支持MON口在线光谱监测，可实时监测光放大链路状态。</w:t>
            </w:r>
          </w:p>
          <w:p w14:paraId="26E64A19">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④支持光线路保护，提升光传输链路的可靠性。</w:t>
            </w:r>
          </w:p>
          <w:p w14:paraId="06AB28D8">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8、单波板 数量：1</w:t>
            </w:r>
          </w:p>
          <w:p w14:paraId="1DE0CEA1">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①需实现12路10G线路业务处理能力（可以通过增加单板方式实现）</w:t>
            </w:r>
          </w:p>
          <w:p w14:paraId="21194F07">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②支持波长可调光模块。</w:t>
            </w:r>
          </w:p>
          <w:p w14:paraId="5BFAA09F">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③可实现波分侧光信号在C波段100GHz间隔的40波范围内可调。</w:t>
            </w:r>
          </w:p>
          <w:p w14:paraId="327C50F4">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④波分侧光信号在C波段50GHz间隔的80波范围内可调。</w:t>
            </w:r>
          </w:p>
          <w:p w14:paraId="4AE8E151">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⑤波分侧支持OTU0/OTU1/OTU2/OTU2e接口。</w:t>
            </w:r>
          </w:p>
          <w:p w14:paraId="5C55CD58">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9、业务板 数量：1</w:t>
            </w:r>
          </w:p>
          <w:p w14:paraId="5F981ADA">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①需实现12路10G支路业务处理能力（可以通过增加单板方式实现）</w:t>
            </w:r>
          </w:p>
          <w:p w14:paraId="67AF3177">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②当接入OTU1/OTU2/OTU2e业务时，支持FEC编码。</w:t>
            </w:r>
          </w:p>
          <w:p w14:paraId="43C5A3A3">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③当接入25GE/FC3200业务时，支持RSFEC编码。</w:t>
            </w:r>
          </w:p>
          <w:p w14:paraId="06AB2C20">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10、模块 数量：1</w:t>
            </w:r>
          </w:p>
          <w:p w14:paraId="6F4F6E49">
            <w:pPr>
              <w:pStyle w:val="5"/>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①单波可调波长模块，满足不同波长自由切换使用。</w:t>
            </w:r>
          </w:p>
          <w:p w14:paraId="30FCA2D8">
            <w:pPr>
              <w:pStyle w:val="5"/>
              <w:numPr>
                <w:ilvl w:val="0"/>
                <w:numId w:val="0"/>
              </w:numP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（二）质量要求</w:t>
            </w:r>
          </w:p>
          <w:p w14:paraId="0F7657A5">
            <w:pPr>
              <w:pStyle w:val="5"/>
              <w:numPr>
                <w:ilvl w:val="0"/>
                <w:numId w:val="0"/>
              </w:numP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供应商提供的设备必须同时满足以下标准：国家及相关部门的相应产业标准;通过国家或行业相关的产品测试;生产厂家对设备产品的技术性能描述。所有设备必须为原厂产品，带有唯一序列号，可被设备网管系统识别。</w:t>
            </w:r>
          </w:p>
          <w:p w14:paraId="713D0913">
            <w:pPr>
              <w:pStyle w:val="5"/>
              <w:numPr>
                <w:ilvl w:val="0"/>
                <w:numId w:val="0"/>
              </w:numP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（三）包装及运输要求</w:t>
            </w:r>
          </w:p>
          <w:p w14:paraId="2B35E087">
            <w:pPr>
              <w:pStyle w:val="5"/>
              <w:numPr>
                <w:ilvl w:val="0"/>
                <w:numId w:val="0"/>
              </w:numP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供应商提供的货物须为原厂原包装，包装完好完整、无破损、未开封。国家对包装及运输有相关强制性标准或要求的，供应商应当执行。每一个包装箱内应附一份详细装箱单、质量合格证书、保修证书、产品使用说明书及其它必要的技术资料、随配附件和工具等。</w:t>
            </w:r>
          </w:p>
          <w:p w14:paraId="1B3DB551">
            <w:pPr>
              <w:pStyle w:val="5"/>
              <w:numPr>
                <w:ilvl w:val="0"/>
                <w:numId w:val="0"/>
              </w:numP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（四）知识产权</w:t>
            </w:r>
          </w:p>
          <w:p w14:paraId="65C3B267">
            <w:pPr>
              <w:pStyle w:val="5"/>
              <w:numPr>
                <w:ilvl w:val="0"/>
                <w:numId w:val="0"/>
              </w:numP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供应商应保证在本项目中使用的任何产品和服务（包括部分使用），不会产生因第三方提出侵犯其专利权、商标权或其它知识产权而引起的法律和经济纠纷。</w:t>
            </w:r>
          </w:p>
          <w:p w14:paraId="688C8726">
            <w:pPr>
              <w:pStyle w:val="5"/>
              <w:numPr>
                <w:ilvl w:val="0"/>
                <w:numId w:val="0"/>
              </w:numP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（五）质保要求</w:t>
            </w:r>
          </w:p>
          <w:p w14:paraId="5D75EEEB">
            <w:pPr>
              <w:pStyle w:val="5"/>
              <w:numPr>
                <w:ilvl w:val="0"/>
                <w:numId w:val="0"/>
              </w:numP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供应商需提供原厂工程师安装硬件上架部署服务及配置，提供3年原厂维保。</w:t>
            </w:r>
          </w:p>
          <w:p w14:paraId="32461795">
            <w:pPr>
              <w:pStyle w:val="5"/>
              <w:numPr>
                <w:ilvl w:val="0"/>
                <w:numId w:val="0"/>
              </w:numP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（六）供应链管理要求</w:t>
            </w:r>
          </w:p>
          <w:p w14:paraId="3934D51B">
            <w:pPr>
              <w:pStyle w:val="5"/>
              <w:numPr>
                <w:ilvl w:val="0"/>
                <w:numId w:val="0"/>
              </w:numP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供应商应严格落实网络安全和保密及人员管理要求，承担相应人员的网络安全和保密及人员管理责任，按要求签订协议和承诺书。供应商应强化设备产品供应的及时性，确保不发生设备产品的变更。</w:t>
            </w:r>
          </w:p>
          <w:p w14:paraId="2AF12064">
            <w:pPr>
              <w:pStyle w:val="5"/>
              <w:numPr>
                <w:ilvl w:val="0"/>
                <w:numId w:val="0"/>
              </w:numP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（七）培训要求</w:t>
            </w:r>
          </w:p>
          <w:p w14:paraId="7BF1B622">
            <w:pPr>
              <w:pStyle w:val="5"/>
              <w:numPr>
                <w:ilvl w:val="0"/>
                <w:numId w:val="0"/>
              </w:numP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供应商应在项目实施期间为采购人技术人员提供不少于一次的涉及本项目产品内容的专题技术培训，使受培训人员能够独立、熟练操作直至提供的产品可以正常使用为止。</w:t>
            </w:r>
          </w:p>
          <w:p w14:paraId="4C441A4B">
            <w:pPr>
              <w:pStyle w:val="5"/>
              <w:numPr>
                <w:ilvl w:val="0"/>
                <w:numId w:val="0"/>
              </w:numP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（八）合同签订</w:t>
            </w:r>
          </w:p>
          <w:p w14:paraId="6B287553">
            <w:pPr>
              <w:pStyle w:val="5"/>
              <w:numPr>
                <w:ilvl w:val="0"/>
                <w:numId w:val="0"/>
              </w:numP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供应商应配合采购方在法定时间内完成合同的签订工作，签订地点由采购方指定。</w:t>
            </w:r>
          </w:p>
        </w:tc>
      </w:tr>
      <w:tr w14:paraId="68A6D4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2" w:type="dxa"/>
          </w:tcPr>
          <w:p w14:paraId="56D66B22">
            <w:pPr>
              <w:rPr>
                <w:rFonts w:hint="eastAsia" w:ascii="仿宋_GB2312" w:hAnsi="仿宋_GB2312" w:eastAsia="仿宋_GB2312" w:cs="仿宋_GB2312"/>
                <w:sz w:val="20"/>
                <w:szCs w:val="20"/>
                <w:highlight w:val="none"/>
              </w:rPr>
            </w:pPr>
          </w:p>
        </w:tc>
        <w:tc>
          <w:tcPr>
            <w:tcW w:w="943" w:type="dxa"/>
            <w:vAlign w:val="center"/>
          </w:tcPr>
          <w:p w14:paraId="30D84921">
            <w:pPr>
              <w:pStyle w:val="5"/>
              <w:jc w:val="cente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3</w:t>
            </w:r>
          </w:p>
        </w:tc>
        <w:tc>
          <w:tcPr>
            <w:tcW w:w="1573" w:type="dxa"/>
            <w:vAlign w:val="center"/>
          </w:tcPr>
          <w:p w14:paraId="1D422BFB">
            <w:pPr>
              <w:pStyle w:val="5"/>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项目实施要求</w:t>
            </w:r>
          </w:p>
        </w:tc>
        <w:tc>
          <w:tcPr>
            <w:tcW w:w="5176" w:type="dxa"/>
          </w:tcPr>
          <w:p w14:paraId="349B291F">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Hans"/>
              </w:rPr>
              <w:t>（一）</w:t>
            </w:r>
            <w:r>
              <w:rPr>
                <w:rFonts w:hint="eastAsia" w:ascii="仿宋_GB2312" w:hAnsi="仿宋_GB2312" w:eastAsia="仿宋_GB2312" w:cs="仿宋_GB2312"/>
                <w:sz w:val="20"/>
                <w:szCs w:val="20"/>
                <w:highlight w:val="none"/>
              </w:rPr>
              <w:t>实施期限要求</w:t>
            </w:r>
          </w:p>
          <w:p w14:paraId="15F31AA1">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1.供应商须在合同签订之日（含）起150个日历天内完成货物安装、并配合采购人完成交付验收、通过最终验收。</w:t>
            </w:r>
          </w:p>
          <w:p w14:paraId="7CD30015">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2.自开工令发出之日（含）起，所需设备供应商需在30个日历天内运抵采购人指定地点，由采购人组织开箱检验。开箱检验通过仅表明设备表面符合约定，不视为对设备内在质量、技术性能的认可。</w:t>
            </w:r>
          </w:p>
          <w:p w14:paraId="137A7CB2">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3.自开箱检验通过之日起（含），30个日历天内，供应商需完成设备上架部署安装、并提出书面交付验收申请。</w:t>
            </w:r>
          </w:p>
          <w:p w14:paraId="75E4E280">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4.交付验收通过之日起（含），设备上架30个日历天且运行平稳后，供应商应于7个日历天内及时提出书面最终验收申请。</w:t>
            </w:r>
          </w:p>
          <w:p w14:paraId="2C9327F9">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（二）实施地点</w:t>
            </w:r>
          </w:p>
          <w:p w14:paraId="193E5ED8">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陕西省高速公路收费中心。</w:t>
            </w:r>
          </w:p>
          <w:p w14:paraId="16D7219A">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（三）网络安全要求</w:t>
            </w:r>
          </w:p>
          <w:p w14:paraId="7B271220">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供应商所提供的产品应符合国家及行业相关网络安全技术标准与规范要求，能够有效保障设备运行安全与数据安全，按照要求签署网络安全责任协议。</w:t>
            </w:r>
          </w:p>
          <w:p w14:paraId="622A2EF5">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Hans"/>
              </w:rPr>
              <w:t>（四）</w:t>
            </w:r>
            <w:r>
              <w:rPr>
                <w:rFonts w:hint="eastAsia" w:ascii="仿宋_GB2312" w:hAnsi="仿宋_GB2312" w:eastAsia="仿宋_GB2312" w:cs="仿宋_GB2312"/>
                <w:sz w:val="20"/>
                <w:szCs w:val="20"/>
                <w:highlight w:val="none"/>
              </w:rPr>
              <w:t>资产管理要求</w:t>
            </w:r>
          </w:p>
          <w:p w14:paraId="6317ED02">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供应商应整理本项目实施过程中所涉及的相关资产，包括但不限于产品合格证、资产台账、网络拓扑等资产，并及时向采购人提交纸质资料和电子资料。</w:t>
            </w:r>
          </w:p>
          <w:p w14:paraId="2FE250CC">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Hans"/>
              </w:rPr>
              <w:t>（五）</w:t>
            </w:r>
            <w:r>
              <w:rPr>
                <w:rFonts w:hint="eastAsia" w:ascii="仿宋_GB2312" w:hAnsi="仿宋_GB2312" w:eastAsia="仿宋_GB2312" w:cs="仿宋_GB2312"/>
                <w:sz w:val="20"/>
                <w:szCs w:val="20"/>
                <w:highlight w:val="none"/>
              </w:rPr>
              <w:t>人员要求</w:t>
            </w:r>
          </w:p>
          <w:p w14:paraId="21AD65BA">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设备安装</w:t>
            </w:r>
            <w:r>
              <w:rPr>
                <w:rFonts w:hint="eastAsia" w:ascii="仿宋_GB2312" w:hAnsi="仿宋_GB2312" w:eastAsia="仿宋_GB2312" w:cs="仿宋_GB2312"/>
                <w:sz w:val="20"/>
                <w:szCs w:val="20"/>
                <w:highlight w:val="none"/>
                <w:lang w:val="en-US" w:eastAsia="zh-CN"/>
              </w:rPr>
              <w:t>调试</w:t>
            </w:r>
            <w:r>
              <w:rPr>
                <w:rFonts w:hint="eastAsia" w:ascii="仿宋_GB2312" w:hAnsi="仿宋_GB2312" w:eastAsia="仿宋_GB2312" w:cs="仿宋_GB2312"/>
                <w:sz w:val="20"/>
                <w:szCs w:val="20"/>
                <w:highlight w:val="none"/>
              </w:rPr>
              <w:t>之日起至</w:t>
            </w:r>
            <w:r>
              <w:rPr>
                <w:rFonts w:hint="eastAsia" w:ascii="仿宋_GB2312" w:hAnsi="仿宋_GB2312" w:eastAsia="仿宋_GB2312" w:cs="仿宋_GB2312"/>
                <w:sz w:val="20"/>
                <w:szCs w:val="20"/>
                <w:highlight w:val="none"/>
                <w:lang w:val="en-US" w:eastAsia="zh-CN"/>
              </w:rPr>
              <w:t>最终</w:t>
            </w:r>
            <w:r>
              <w:rPr>
                <w:rFonts w:hint="eastAsia" w:ascii="仿宋_GB2312" w:hAnsi="仿宋_GB2312" w:eastAsia="仿宋_GB2312" w:cs="仿宋_GB2312"/>
                <w:sz w:val="20"/>
                <w:szCs w:val="20"/>
                <w:highlight w:val="none"/>
              </w:rPr>
              <w:t>验收合格之日</w:t>
            </w:r>
            <w:r>
              <w:rPr>
                <w:rFonts w:hint="eastAsia" w:ascii="仿宋_GB2312" w:hAnsi="仿宋_GB2312" w:eastAsia="仿宋_GB2312" w:cs="仿宋_GB2312"/>
                <w:sz w:val="20"/>
                <w:szCs w:val="20"/>
                <w:highlight w:val="none"/>
                <w:lang w:val="en-US" w:eastAsia="zh-CN"/>
              </w:rPr>
              <w:t>止</w:t>
            </w:r>
            <w:r>
              <w:rPr>
                <w:rFonts w:hint="eastAsia" w:ascii="仿宋_GB2312" w:hAnsi="仿宋_GB2312" w:eastAsia="仿宋_GB2312" w:cs="仿宋_GB2312"/>
                <w:sz w:val="20"/>
                <w:szCs w:val="20"/>
                <w:highlight w:val="none"/>
              </w:rPr>
              <w:t>，在项目现场派驻1名</w:t>
            </w:r>
            <w:r>
              <w:rPr>
                <w:rFonts w:hint="eastAsia" w:ascii="仿宋_GB2312" w:hAnsi="仿宋_GB2312" w:eastAsia="仿宋_GB2312" w:cs="仿宋_GB2312"/>
                <w:sz w:val="20"/>
                <w:szCs w:val="20"/>
                <w:highlight w:val="none"/>
                <w:lang w:val="en-US" w:eastAsia="zh-CN"/>
              </w:rPr>
              <w:t>原厂或具有原厂认证的专业工程师提供</w:t>
            </w:r>
            <w:r>
              <w:rPr>
                <w:rFonts w:hint="eastAsia" w:ascii="仿宋_GB2312" w:hAnsi="仿宋_GB2312" w:eastAsia="仿宋_GB2312" w:cs="仿宋_GB2312"/>
                <w:sz w:val="20"/>
                <w:szCs w:val="20"/>
                <w:highlight w:val="none"/>
              </w:rPr>
              <w:t>驻场服务，负责设备安装指导、单机调试、系统联调、业务开通、配合验收及现场技术支持等工作。</w:t>
            </w:r>
          </w:p>
          <w:p w14:paraId="033B200A">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项目实施团队需具备同类项目实施经验。项目团队成员一经确认，原则上不得更换。如因特殊情况确需调整，须提前15个日历天向采购人提交书面申请，经采购人审核同意后方可更换，且替换人员的职称、专业背景、从业年限及项目经验不得低于原定人员标准，确保项目服务质量不受影响。</w:t>
            </w:r>
          </w:p>
          <w:p w14:paraId="144DAC0F">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Hans"/>
              </w:rPr>
              <w:t>（六）</w:t>
            </w:r>
            <w:r>
              <w:rPr>
                <w:rFonts w:hint="eastAsia" w:ascii="仿宋_GB2312" w:hAnsi="仿宋_GB2312" w:eastAsia="仿宋_GB2312" w:cs="仿宋_GB2312"/>
                <w:sz w:val="20"/>
                <w:szCs w:val="20"/>
                <w:highlight w:val="none"/>
              </w:rPr>
              <w:t>履约验收要求</w:t>
            </w:r>
          </w:p>
          <w:p w14:paraId="4CB5BEDA">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项目履约验收主体为采购人，验收工作流程为供应商提出相应验收申请之日（含）起30个日历天内，由采购人组织验收工作。本项目为两阶段验收（交付验收和最终验收），最终验收时需邀请专家，采购人及专家组严格按照招标文件、投标文件和合同约定内容进行履约验收。</w:t>
            </w:r>
          </w:p>
          <w:p w14:paraId="0F655D8D">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Hans"/>
              </w:rPr>
              <w:t>（七）</w:t>
            </w:r>
            <w:r>
              <w:rPr>
                <w:rFonts w:hint="eastAsia" w:ascii="仿宋_GB2312" w:hAnsi="仿宋_GB2312" w:eastAsia="仿宋_GB2312" w:cs="仿宋_GB2312"/>
                <w:sz w:val="20"/>
                <w:szCs w:val="20"/>
                <w:highlight w:val="none"/>
              </w:rPr>
              <w:t>售后服务要求</w:t>
            </w:r>
          </w:p>
          <w:p w14:paraId="0F5592D1">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质量保证期从最终验收合格之日（含）起计算，时间为三年。</w:t>
            </w:r>
          </w:p>
          <w:p w14:paraId="57E89579">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质量保证期服务方式要求采用7*24小时远程电话值守。工作日内，供应商应在30分钟内故障响应，2小时内上门服务并给出故障解决方案，接响应后3小时内排除故障，恢复正常使用。其他时间应在60分钟内故障响应，4小时内上门服务并给出故障解决方案，接响应后5小时内排除故障，恢复正常使用。若相应时间内无法解决故障，应提供备用设备。</w:t>
            </w:r>
          </w:p>
          <w:p w14:paraId="10C42721">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质量保证期内维修使用的备品备件、易损件等应为原厂配件。</w:t>
            </w:r>
          </w:p>
          <w:p w14:paraId="495EA6D0">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质量保证期内供应商须提供三年产品原厂硬件质保。</w:t>
            </w:r>
          </w:p>
          <w:p w14:paraId="10BA0881">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质量保证期内供应商所提供的所有技术支持和服务费用以及上门维修、更换零部件费用由供应商提供，采购人不在另行支付。</w:t>
            </w:r>
          </w:p>
          <w:p w14:paraId="0C073C56">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Hans"/>
              </w:rPr>
              <w:t>（八）</w:t>
            </w:r>
            <w:r>
              <w:rPr>
                <w:rFonts w:hint="eastAsia" w:ascii="仿宋_GB2312" w:hAnsi="仿宋_GB2312" w:eastAsia="仿宋_GB2312" w:cs="仿宋_GB2312"/>
                <w:sz w:val="20"/>
                <w:szCs w:val="20"/>
                <w:highlight w:val="none"/>
              </w:rPr>
              <w:t>保密要求</w:t>
            </w:r>
          </w:p>
          <w:p w14:paraId="5EFA4DE4">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供应商方应对在项目实施及履行过程中所接触的采购人信息，包括但不限于知识产权、技术资料、内部管理及其他相关信息，负有保密义务。保密期限不受合同有效期的限制，在合同有效期结束后，供应商仍应承担保密义务。</w:t>
            </w:r>
          </w:p>
          <w:p w14:paraId="54D429AD">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Hans"/>
              </w:rPr>
              <w:t>（九）</w:t>
            </w:r>
            <w:r>
              <w:rPr>
                <w:rFonts w:hint="eastAsia" w:ascii="仿宋_GB2312" w:hAnsi="仿宋_GB2312" w:eastAsia="仿宋_GB2312" w:cs="仿宋_GB2312"/>
                <w:sz w:val="20"/>
                <w:szCs w:val="20"/>
                <w:highlight w:val="none"/>
              </w:rPr>
              <w:t>违约责任</w:t>
            </w:r>
          </w:p>
          <w:p w14:paraId="49C18F2F">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1.供应商延迟交付货物的，应向采购人支付延迟违约金。延迟违约金的计算方法如下：每延迟一天向采购人偿付违约货款额3‰违约金，但违约金累计不超过违约货款额3%。超过10 天采购人有权解除合同，供应商承担因此给采购人造成经济损失。</w:t>
            </w:r>
          </w:p>
          <w:p w14:paraId="17F9683F">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2.供应商提供的设备品种、型号、规格、质量达不到规定标准的，采购人有权拒收，供应商应在10日历天内更换符合要求的设备，供应商拒绝更换或更换后仍存在质量问题的，采购人有权解除合同并有权要求供应商按照合同总价款的20%向采购人支付违约金。</w:t>
            </w:r>
          </w:p>
          <w:p w14:paraId="64B5F3AD">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3.项目实施过程中，对全省业务正常运行影响达到6小时的，每次扣款5000元；每增加6小时，增加5000元；24小时内最高扣款金额20000元。影响全省业务正常运行超过24小时，或有必要根据实际造成的损失及影响进行责任追究的，采购人有权进行责任追究。</w:t>
            </w:r>
          </w:p>
          <w:p w14:paraId="224A0B3B">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4.供应商未按合同要求提供服务或产品质量不能满足技术要求的，采购方有权要求供应商整改，供应商拒绝整改或整改后仍存在问题的，采购方有权解除合同，并有权要求供应商按照合同总价款的20%向采购方支付违约金。</w:t>
            </w:r>
          </w:p>
          <w:p w14:paraId="1F4D0A5B">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5.上述2、3、4项情形累计发生3次及以上，采购方除按照上述标准扣除违约金外，有权单方面解除本合同。</w:t>
            </w:r>
          </w:p>
          <w:p w14:paraId="05876FA9">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6.因供应商原因，自合同签订之日起150个日历天内未完成项目所有工作内容或未提交项目交付成果，供应商应向采购方支付合同总价款的20%违约金，采购方有权从合同支付费用中扣除。</w:t>
            </w:r>
          </w:p>
          <w:p w14:paraId="562D5DD9">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7.上述违约金直接从未支付的合同金额中扣减，如合同剩余金额不足扣减违约金，供应商应在规定时限内向采购人支付违约金。</w:t>
            </w:r>
          </w:p>
          <w:p w14:paraId="0332EA75">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8.因供应商原因，导致合同无法按时签订的，视为对项目的自动放弃，采购方有权取消供应商的中标或成交资格、并有权依据采购文件中的约定及相关法律规定，追究供应商的违约责任。</w:t>
            </w:r>
          </w:p>
          <w:p w14:paraId="634E08D1">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9.因供应商泄密或操作不当造成采购人利益损害，除一切后果与法律责任由供应商承担，采购人有权要求供应商赔偿经济损失。</w:t>
            </w:r>
          </w:p>
          <w:p w14:paraId="1B9FBFE5">
            <w:pPr>
              <w:pStyle w:val="5"/>
              <w:numPr>
                <w:ilvl w:val="0"/>
                <w:numId w:val="0"/>
              </w:numPr>
              <w:spacing w:before="4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10.供应商若违反本协议的任何一款，视为供应商违约；因供应商违约造成采购人损失的，由供应商承担全部的损失赔偿责任，包括但不限于直接经济损失及采购人因此开支的交通费、公证费、鉴定费、诉讼费、仲裁费、律师费、保全费、保全保险费等一切费用。</w:t>
            </w:r>
          </w:p>
        </w:tc>
      </w:tr>
      <w:tr w14:paraId="7855EC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2" w:type="dxa"/>
          </w:tcPr>
          <w:p w14:paraId="065A353C">
            <w:pPr>
              <w:rPr>
                <w:rFonts w:hint="eastAsia" w:ascii="仿宋_GB2312" w:hAnsi="仿宋_GB2312" w:eastAsia="仿宋_GB2312" w:cs="仿宋_GB2312"/>
                <w:sz w:val="20"/>
                <w:szCs w:val="20"/>
                <w:highlight w:val="none"/>
              </w:rPr>
            </w:pPr>
          </w:p>
        </w:tc>
        <w:tc>
          <w:tcPr>
            <w:tcW w:w="943" w:type="dxa"/>
            <w:vAlign w:val="center"/>
          </w:tcPr>
          <w:p w14:paraId="336B2ADC">
            <w:pPr>
              <w:pStyle w:val="5"/>
              <w:jc w:val="center"/>
              <w:rPr>
                <w:rFonts w:hint="eastAsia" w:ascii="仿宋_GB2312" w:hAnsi="仿宋_GB2312" w:eastAsia="仿宋_GB2312" w:cs="仿宋_GB2312"/>
                <w:sz w:val="20"/>
                <w:szCs w:val="20"/>
                <w:highlight w:val="none"/>
                <w:lang w:val="en-US" w:eastAsia="zh-CN"/>
              </w:rPr>
            </w:pPr>
            <w:r>
              <w:rPr>
                <w:rFonts w:hint="eastAsia" w:ascii="仿宋_GB2312" w:hAnsi="仿宋_GB2312" w:eastAsia="仿宋_GB2312" w:cs="仿宋_GB2312"/>
                <w:sz w:val="20"/>
                <w:szCs w:val="20"/>
                <w:highlight w:val="none"/>
                <w:lang w:val="en-US" w:eastAsia="zh-CN"/>
              </w:rPr>
              <w:t>4</w:t>
            </w:r>
          </w:p>
        </w:tc>
        <w:tc>
          <w:tcPr>
            <w:tcW w:w="1573" w:type="dxa"/>
            <w:vAlign w:val="center"/>
          </w:tcPr>
          <w:p w14:paraId="60EAE555">
            <w:pPr>
              <w:pStyle w:val="5"/>
              <w:jc w:val="center"/>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rPr>
              <w:t>付款方式</w:t>
            </w:r>
          </w:p>
        </w:tc>
        <w:tc>
          <w:tcPr>
            <w:tcW w:w="5176" w:type="dxa"/>
          </w:tcPr>
          <w:p w14:paraId="5F3A135B">
            <w:pPr>
              <w:pStyle w:val="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1、</w:t>
            </w:r>
            <w:r>
              <w:rPr>
                <w:rFonts w:hint="eastAsia" w:ascii="仿宋_GB2312" w:hAnsi="仿宋_GB2312" w:eastAsia="仿宋_GB2312" w:cs="仿宋_GB2312"/>
                <w:sz w:val="20"/>
                <w:szCs w:val="20"/>
                <w:highlight w:val="none"/>
              </w:rPr>
              <w:t>货物全部到货后，经采购人组织开箱验收并确认符合合同要求后支付合同总额的40%；经采购人组织交付验收并通过后支付合同总额的30%；经采购人组织最终验收并通过、且供应商完成所有项目资料的交付后支付合同总额的30%。</w:t>
            </w:r>
          </w:p>
          <w:p w14:paraId="2CB2DA12">
            <w:pPr>
              <w:pStyle w:val="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2、</w:t>
            </w:r>
            <w:r>
              <w:rPr>
                <w:rFonts w:hint="eastAsia" w:ascii="仿宋_GB2312" w:hAnsi="仿宋_GB2312" w:eastAsia="仿宋_GB2312" w:cs="仿宋_GB2312"/>
                <w:sz w:val="20"/>
                <w:szCs w:val="20"/>
                <w:highlight w:val="none"/>
              </w:rPr>
              <w:t>供应商须向采购人出具合法有效的发票，采购人进行支付结算。首次支付时供应商应开具全额发票。</w:t>
            </w:r>
          </w:p>
          <w:p w14:paraId="2587335C">
            <w:pPr>
              <w:pStyle w:val="5"/>
              <w:rPr>
                <w:rFonts w:hint="eastAsia" w:ascii="仿宋_GB2312" w:hAnsi="仿宋_GB2312" w:eastAsia="仿宋_GB2312" w:cs="仿宋_GB2312"/>
                <w:sz w:val="20"/>
                <w:szCs w:val="20"/>
                <w:highlight w:val="none"/>
              </w:rPr>
            </w:pPr>
            <w:r>
              <w:rPr>
                <w:rFonts w:hint="eastAsia" w:ascii="仿宋_GB2312" w:hAnsi="仿宋_GB2312" w:eastAsia="仿宋_GB2312" w:cs="仿宋_GB2312"/>
                <w:sz w:val="20"/>
                <w:szCs w:val="20"/>
                <w:highlight w:val="none"/>
                <w:lang w:val="en-US" w:eastAsia="zh-CN"/>
              </w:rPr>
              <w:t>3、</w:t>
            </w:r>
            <w:r>
              <w:rPr>
                <w:rFonts w:hint="eastAsia" w:ascii="仿宋_GB2312" w:hAnsi="仿宋_GB2312" w:eastAsia="仿宋_GB2312" w:cs="仿宋_GB2312"/>
                <w:sz w:val="20"/>
                <w:szCs w:val="20"/>
                <w:highlight w:val="none"/>
              </w:rPr>
              <w:t>结算方式：银行转账。</w:t>
            </w:r>
          </w:p>
        </w:tc>
      </w:tr>
    </w:tbl>
    <w:p w14:paraId="4F3C36EA">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A26A31"/>
    <w:rsid w:val="42A26A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2026-06-05T09:13:00Z</dcterms:created>
  <dc:creator>123</dc:creator>
  <cp:lastModifiedBy>123</cp:lastModifiedBy>
  <dcterms:modified xsi:type="dcterms:W3CDTF">2026-06-05T09:14:39Z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DF5A15A0885A48428461196D549B5B6C_11</vt:lpwstr>
  </property>
  <property fmtid="{D5CDD505-2E9C-101B-9397-08002B2CF9AE}" pid="4" name="KSOTemplateDocerSaveRecord">
    <vt:lpwstr>eyJoZGlkIjoiOTEzYTE1NjhmYmI0MDkxYmE1ZjVkMjkwNjA2M2Q0ZDUiLCJ1c2VySWQiOiI0NTE5NDQwNTQifQ==</vt:lpwstr>
  </property>
</Properties>
</file>