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版本号：ZCSP-潼关县-2026-0005520260528001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公安网网络设备自动化管理、异常接入预警、网络资产动态监控与管理、视图大模型能力提升改造项目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ZCSP-潼关县-2026-00055</w:t>
      </w:r>
      <w:r>
        <w:br/>
      </w:r>
      <w:r>
        <w:br/>
      </w:r>
      <w:r>
        <w:br/>
      </w:r>
    </w:p>
    <w:p>
      <w:pPr>
        <w:pStyle w:val="null3"/>
        <w:jc w:val="center"/>
        <w:outlineLvl w:val="2"/>
      </w:pPr>
      <w:r>
        <w:rPr>
          <w:rFonts w:ascii="仿宋_GB2312" w:hAnsi="仿宋_GB2312" w:cs="仿宋_GB2312" w:eastAsia="仿宋_GB2312"/>
          <w:sz w:val="28"/>
          <w:b/>
        </w:rPr>
        <w:t>潼关县公安局</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潼关县公安局</w:t>
      </w:r>
      <w:r>
        <w:rPr>
          <w:rFonts w:ascii="仿宋_GB2312" w:hAnsi="仿宋_GB2312" w:cs="仿宋_GB2312" w:eastAsia="仿宋_GB2312"/>
        </w:rPr>
        <w:t>委托，拟对</w:t>
      </w:r>
      <w:r>
        <w:rPr>
          <w:rFonts w:ascii="仿宋_GB2312" w:hAnsi="仿宋_GB2312" w:cs="仿宋_GB2312" w:eastAsia="仿宋_GB2312"/>
        </w:rPr>
        <w:t>公安网网络设备自动化管理、异常接入预警、网络资产动态监控与管理、视图大模型能力提升改造项目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公安网网络设备自动化管理、异常接入预警、网络资产动态监控与管理、视图大模型能力提升改造项目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网络设备自动化管理、异常接入预警、人像要素全解析、目标识别算法、人脸人体融合聚档模型.以图搜图，1:1,1:N,N:M比对应用.布控预警应用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采购包1（公安网网络设备自动化管理、异常接入预警、网络资产动态监控与管理、视图大模型能力提升改造项目）：属于专门面向中小企业采购。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1、供应商授权：法定代表人或负责人参与投标时需提供法定代表人或负责人资格证明书（附法定代表人或负责人身份证复印件）；（法定代表人或负责人须提供身份证原件，身份证原件可由本人持有）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2、投标保证金：提供投标保证金缴纳凭证</w:t>
      </w:r>
    </w:p>
    <w:p>
      <w:pPr>
        <w:pStyle w:val="null3"/>
      </w:pPr>
      <w:r>
        <w:rPr>
          <w:rFonts w:ascii="仿宋_GB2312" w:hAnsi="仿宋_GB2312" w:cs="仿宋_GB2312" w:eastAsia="仿宋_GB2312"/>
        </w:rPr>
        <w:t>3、信誉要求：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潼关县公安局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渭南市潼关县尚德路北段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李正军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13909138150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陕西省渭南市临渭区朝阳大街中段审计大厦东座301室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采购包1：2,397,000.00元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开户名称：陕西利隆建设项目管理有限公司</w:t>
            </w:r>
          </w:p>
          <w:p>
            <w:pPr>
              <w:pStyle w:val="null3"/>
            </w:pPr>
            <w:r>
              <w:rPr>
                <w:rFonts w:ascii="仿宋_GB2312" w:hAnsi="仿宋_GB2312" w:cs="仿宋_GB2312" w:eastAsia="仿宋_GB2312"/>
              </w:rPr>
              <w:t>开户银行：中国工商银行股份有限公司渭南仓程路支行</w:t>
            </w:r>
          </w:p>
          <w:p>
            <w:pPr>
              <w:pStyle w:val="null3"/>
            </w:pPr>
            <w:r>
              <w:rPr>
                <w:rFonts w:ascii="仿宋_GB2312" w:hAnsi="仿宋_GB2312" w:cs="仿宋_GB2312" w:eastAsia="仿宋_GB2312"/>
              </w:rPr>
              <w:t>银行账号：2605025909020001177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商在领取成交通知书前，一次性向采购代理机构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潼关县公安局</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潼关县公安局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潼关县公安局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符合国家、行业及地方相关标准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地址：陕西省渭南市临渭区朝阳大街中段审计大厦东座301室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网络设备自动化管理、异常接入预警、人像要素全解析，目标识别算法、人脸人体融合聚档模型、以图搜图，1:1,1:N,N:M比对应用、布控预警应用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2,397,000.00</w:t>
      </w:r>
    </w:p>
    <w:p>
      <w:pPr>
        <w:pStyle w:val="null3"/>
      </w:pPr>
      <w:r>
        <w:rPr>
          <w:rFonts w:ascii="仿宋_GB2312" w:hAnsi="仿宋_GB2312" w:cs="仿宋_GB2312" w:eastAsia="仿宋_GB2312"/>
        </w:rPr>
        <w:t>采购包最高限价（元）: 2,397,000.00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公安网网络设备自动化管理 异常接入预警 网络资产动态监控与管理 视图大模型能力提升改造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标的名称：公安网网络设备自动化管理 异常接入预警 网络资产动态监控与管理 视图大模型能力提升改造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198"/>
              <w:gridCol w:w="1926"/>
              <w:gridCol w:w="126"/>
              <w:gridCol w:w="126"/>
            </w:tblGrid>
            <w:tr>
              <w:tc>
                <w:tcPr>
                  <w:tcW w:type="dxa" w:w="1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w:t>
                  </w:r>
                  <w:r>
                    <w:br/>
                  </w:r>
                  <w:r>
                    <w:rPr>
                      <w:rFonts w:ascii="仿宋_GB2312" w:hAnsi="仿宋_GB2312" w:cs="仿宋_GB2312" w:eastAsia="仿宋_GB2312"/>
                      <w:sz w:val="21"/>
                      <w:b/>
                      <w:color w:val="000000"/>
                    </w:rPr>
                    <w:t>内容</w:t>
                  </w:r>
                </w:p>
              </w:tc>
              <w:tc>
                <w:tcPr>
                  <w:tcW w:type="dxa" w:w="19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服务描述</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538"/>
                  <w:gridSpan w:val="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视图大模型解析能力扩容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视频流解析算法服务</w:t>
                  </w:r>
                </w:p>
              </w:tc>
              <w:tc>
                <w:tcPr>
                  <w:tcW w:type="dxa" w:w="1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视频预处理：对视频流中行人目标的人脸、人体进行检测、定位、预处理，提取人像全要素；</w:t>
                  </w:r>
                  <w:r>
                    <w:br/>
                  </w:r>
                  <w:r>
                    <w:rPr>
                      <w:rFonts w:ascii="仿宋_GB2312" w:hAnsi="仿宋_GB2312" w:cs="仿宋_GB2312" w:eastAsia="仿宋_GB2312"/>
                      <w:sz w:val="21"/>
                      <w:color w:val="000000"/>
                    </w:rPr>
                    <w:t>复杂场景要素识别：可同时检测视频中的多个人脸、人体目标；支持检测目标的多帧跟踪；支持不同视觉距离、视觉角度、光照条件、遮挡条件等状态下的人像全要素提取；</w:t>
                  </w:r>
                  <w:r>
                    <w:br/>
                  </w:r>
                  <w:r>
                    <w:rPr>
                      <w:rFonts w:ascii="仿宋_GB2312" w:hAnsi="仿宋_GB2312" w:cs="仿宋_GB2312" w:eastAsia="仿宋_GB2312"/>
                      <w:sz w:val="21"/>
                      <w:color w:val="000000"/>
                    </w:rPr>
                    <w:t>人脸全要素提取：支持低质量场景画面中提取人脸小图，包含正面人脸、侧面人脸、俯拍人脸和遮挡状态人脸等；</w:t>
                  </w:r>
                  <w:r>
                    <w:br/>
                  </w:r>
                  <w:r>
                    <w:rPr>
                      <w:rFonts w:ascii="仿宋_GB2312" w:hAnsi="仿宋_GB2312" w:cs="仿宋_GB2312" w:eastAsia="仿宋_GB2312"/>
                      <w:sz w:val="21"/>
                      <w:color w:val="000000"/>
                    </w:rPr>
                    <w:t>人体全要素提取算法：支持在低质量场景画面中提取人体小图，包含正面人体、侧面人体、俯拍人体和遮挡状态人体等；</w:t>
                  </w:r>
                  <w:r>
                    <w:br/>
                  </w:r>
                  <w:r>
                    <w:rPr>
                      <w:rFonts w:ascii="仿宋_GB2312" w:hAnsi="仿宋_GB2312" w:cs="仿宋_GB2312" w:eastAsia="仿宋_GB2312"/>
                      <w:sz w:val="21"/>
                      <w:color w:val="000000"/>
                    </w:rPr>
                    <w:t>人体特征分析算法：支持对视频中目标性别、头部标志物、上身纹样</w:t>
                  </w:r>
                  <w:r>
                    <w:rPr>
                      <w:rFonts w:ascii="仿宋_GB2312" w:hAnsi="仿宋_GB2312" w:cs="仿宋_GB2312" w:eastAsia="仿宋_GB2312"/>
                      <w:sz w:val="21"/>
                      <w:color w:val="000000"/>
                    </w:rPr>
                    <w:t>/款式/颜色、下身服饰、附属物品、发型、鞋子款式、携带物、行为、特种服装、运动方向等进行识别。</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图片流解析算法服务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复杂场景要素提取：可同时检测图片中的人脸、人体目标，并准确区分类别；可同时检测图片中的多个人脸、人体目标；</w:t>
                  </w:r>
                  <w:r>
                    <w:br/>
                  </w:r>
                  <w:r>
                    <w:rPr>
                      <w:rFonts w:ascii="仿宋_GB2312" w:hAnsi="仿宋_GB2312" w:cs="仿宋_GB2312" w:eastAsia="仿宋_GB2312"/>
                      <w:sz w:val="21"/>
                      <w:color w:val="000000"/>
                    </w:rPr>
                    <w:t>人脸全要素提取：支持低质量场景画面中提取人脸小图，包含正面人脸、侧面人脸、俯拍人脸和遮挡状态人脸等；支持在目标检测识别过程中同步抽取目标的二进制特征；支持在低质量视频中，判断视觉要素为人脸要素的概率、判断人脸偏航、俯仰和滚转角度、人脸模糊程度；</w:t>
                  </w:r>
                  <w:r>
                    <w:br/>
                  </w:r>
                  <w:r>
                    <w:rPr>
                      <w:rFonts w:ascii="仿宋_GB2312" w:hAnsi="仿宋_GB2312" w:cs="仿宋_GB2312" w:eastAsia="仿宋_GB2312"/>
                      <w:sz w:val="21"/>
                      <w:color w:val="000000"/>
                    </w:rPr>
                    <w:t>人体全要素提取：支持在低质量场景画面中提取人体小图，包含正面人体、侧面人体、俯拍人体和遮挡状态人体等；</w:t>
                  </w:r>
                  <w:r>
                    <w:br/>
                  </w:r>
                  <w:r>
                    <w:rPr>
                      <w:rFonts w:ascii="仿宋_GB2312" w:hAnsi="仿宋_GB2312" w:cs="仿宋_GB2312" w:eastAsia="仿宋_GB2312"/>
                      <w:sz w:val="21"/>
                      <w:color w:val="000000"/>
                    </w:rPr>
                    <w:t>人体特征分析：支持对图片中目标性别、头部标志物、上身纹样</w:t>
                  </w:r>
                  <w:r>
                    <w:rPr>
                      <w:rFonts w:ascii="仿宋_GB2312" w:hAnsi="仿宋_GB2312" w:cs="仿宋_GB2312" w:eastAsia="仿宋_GB2312"/>
                      <w:sz w:val="21"/>
                      <w:color w:val="000000"/>
                    </w:rPr>
                    <w:t>/款式/颜色、下身服饰、附属物品、发型、鞋子款式、携带物、行为、特种服装等进行识别。</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图像预处理算法服务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人脸人体全要素关联算法：支持创建人脸和人体关联关系；支持同帧和跨帧的人脸和人体的关联</w:t>
                  </w:r>
                  <w:r>
                    <w:br/>
                  </w:r>
                  <w:r>
                    <w:rPr>
                      <w:rFonts w:ascii="仿宋_GB2312" w:hAnsi="仿宋_GB2312" w:cs="仿宋_GB2312" w:eastAsia="仿宋_GB2312"/>
                      <w:sz w:val="21"/>
                      <w:color w:val="000000"/>
                    </w:rPr>
                    <w:t>人脸人体质量分析算法：支持对解析的人脸和人体数据进行质量分析，支持数据偏转角度、模糊程度、光照异常程度、低像素等进行综合计算，提供质量评价结果，为后续计算提供可信度参考；</w:t>
                  </w:r>
                  <w:r>
                    <w:br/>
                  </w:r>
                  <w:r>
                    <w:rPr>
                      <w:rFonts w:ascii="仿宋_GB2312" w:hAnsi="仿宋_GB2312" w:cs="仿宋_GB2312" w:eastAsia="仿宋_GB2312"/>
                      <w:sz w:val="21"/>
                      <w:color w:val="000000"/>
                    </w:rPr>
                    <w:t>时空要素提取和关联算法：支持在人脸全要素和人体全要素提取过程中，同步提取人像要素产生时间和人像要素采集经纬度信息。</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多维融合规则引擎服务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以视图全解析数据和时空信息为基础数据，基于时间、空间、外貌、衣着、同行等条件，结合客观规律和视频侦查逻辑，形成多维融合规则引擎，综合指导人脸图像、人体图像、非机动车人像和机动车人像进行聚类归档，增强人体比对结果数据可用性。通过人脸人体关联、人脸非机动车关联、结构化字段关联等，结合时空纠错、阈值机制等多种策略，提升档案的召回率和准确率。</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多要素实时聚类算法服务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维人脸聚类归档算法：支持基于不同质量条件的人脸图像和对应的全解析数据进行多维时空融合聚类归档；具备对低质量画面的人脸全要素数据进行聚类归档的能力；具备对不同人脸偏航角度、人脸俯仰角度、人脸滚转角度的正面人脸、侧面人脸、俯角人脸等多角度、不同距离人脸全要素数据进行聚类归档的能力；具备对被遮挡的人脸全要素数据进行聚类归档的能力；具备分钟级的实时人脸全要素聚类归档能力；</w:t>
                  </w:r>
                  <w:r>
                    <w:br/>
                  </w:r>
                  <w:r>
                    <w:rPr>
                      <w:rFonts w:ascii="仿宋_GB2312" w:hAnsi="仿宋_GB2312" w:cs="仿宋_GB2312" w:eastAsia="仿宋_GB2312"/>
                      <w:sz w:val="21"/>
                      <w:color w:val="000000"/>
                    </w:rPr>
                    <w:t>多维人体聚类归档算法：支持基于不同质量条件的人体图像和对应的全解析数据进行多维时空融合聚类归档；具备对低质量画面的人体全要素数据进行聚类归档的能力；具备对不同类型的正面人体、侧面人体、背面人体和俯角人体等多角度、不同距离人体图像进行聚类归档的能力；具备对被遮挡的人体全要素数据进行聚类归档的能力；</w:t>
                  </w:r>
                  <w:r>
                    <w:br/>
                  </w:r>
                  <w:r>
                    <w:rPr>
                      <w:rFonts w:ascii="仿宋_GB2312" w:hAnsi="仿宋_GB2312" w:cs="仿宋_GB2312" w:eastAsia="仿宋_GB2312"/>
                      <w:sz w:val="21"/>
                      <w:color w:val="000000"/>
                    </w:rPr>
                    <w:t>人车非人像融合聚类算法：支持对人脸、人体、机动车前排驾乘人像、非机动骑乘人像进行融合聚类归档；</w:t>
                  </w:r>
                  <w:r>
                    <w:br/>
                  </w:r>
                  <w:r>
                    <w:rPr>
                      <w:rFonts w:ascii="仿宋_GB2312" w:hAnsi="仿宋_GB2312" w:cs="仿宋_GB2312" w:eastAsia="仿宋_GB2312"/>
                      <w:sz w:val="21"/>
                      <w:color w:val="000000"/>
                    </w:rPr>
                    <w:t>实时融合聚类算法：对重点关注的目标进行全要素数据综合计算，生成目标人员实时人像轨迹。</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多要素隔天聚类算法服务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维人脸聚类归档算法：支持基于不同质量条件的人脸图像和对应的全解析数据进行多维时空融合聚类归档；具备对低质量画面的人脸全要素数据进行聚类归档的能力；具备对不同人脸偏航角度、人脸俯仰角度、人脸滚转角度的正面人脸、侧面人脸、俯角人脸等多角度、不同距离人脸全要素数据进行聚类归档的能力；具备对被遮挡的人脸全要素数据进行聚类归档的能力；</w:t>
                  </w:r>
                  <w:r>
                    <w:br/>
                  </w:r>
                  <w:r>
                    <w:rPr>
                      <w:rFonts w:ascii="仿宋_GB2312" w:hAnsi="仿宋_GB2312" w:cs="仿宋_GB2312" w:eastAsia="仿宋_GB2312"/>
                      <w:sz w:val="21"/>
                      <w:color w:val="000000"/>
                    </w:rPr>
                    <w:t>多维人体聚类归档算法：支持基于不同质量条件的人体图像和对应的全解析数据进行多维时空融合聚类归档；具备对低质量画面的人体全要素数据进行聚类归档的能力；具备对不同类型的正面人体、侧面人体、背面人体和俯角人体等多角度、不同距离人体图像进行聚类归档的能力；具备对遮挡的人体全要素数据进行聚类归档的能力；</w:t>
                  </w:r>
                  <w:r>
                    <w:br/>
                  </w:r>
                  <w:r>
                    <w:rPr>
                      <w:rFonts w:ascii="仿宋_GB2312" w:hAnsi="仿宋_GB2312" w:cs="仿宋_GB2312" w:eastAsia="仿宋_GB2312"/>
                      <w:sz w:val="21"/>
                      <w:color w:val="000000"/>
                    </w:rPr>
                    <w:t>人车非人像融合聚类算法：支持对人脸、人体、机动车前排驾乘人像、非机动骑乘人像进行融合聚类归档；</w:t>
                  </w:r>
                  <w:r>
                    <w:br/>
                  </w:r>
                  <w:r>
                    <w:rPr>
                      <w:rFonts w:ascii="仿宋_GB2312" w:hAnsi="仿宋_GB2312" w:cs="仿宋_GB2312" w:eastAsia="仿宋_GB2312"/>
                      <w:sz w:val="21"/>
                      <w:color w:val="000000"/>
                    </w:rPr>
                    <w:t>批量融合聚类算法：对上述人像视图数据进行全要素数据综合计算，生成目标人员人像</w:t>
                  </w:r>
                  <w:r>
                    <w:rPr>
                      <w:rFonts w:ascii="仿宋_GB2312" w:hAnsi="仿宋_GB2312" w:cs="仿宋_GB2312" w:eastAsia="仿宋_GB2312"/>
                      <w:sz w:val="21"/>
                      <w:color w:val="000000"/>
                    </w:rPr>
                    <w:t>T+1融合档案。</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人像聚档系统应用服务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提供档案实名化、重点人标签、实时轨迹追踪、人体找人、人体同行、人脸找人、人脸同行、结构化属性搜档以及基础人像功能，具体功能如下：</w:t>
                  </w:r>
                  <w:r>
                    <w:br/>
                  </w:r>
                  <w:r>
                    <w:rPr>
                      <w:rFonts w:ascii="仿宋_GB2312" w:hAnsi="仿宋_GB2312" w:cs="仿宋_GB2312" w:eastAsia="仿宋_GB2312"/>
                      <w:sz w:val="21"/>
                      <w:color w:val="000000"/>
                    </w:rPr>
                    <w:t>1、档案实名化：对人像多要素聚类档案与实名人口库自动碰撞，将实名人口库照片作为档案封面照，并赋予人像档案实名身份信息、性别、出生年月等信息，实现轨迹抓拍实名化。</w:t>
                  </w:r>
                  <w:r>
                    <w:br/>
                  </w:r>
                  <w:r>
                    <w:rPr>
                      <w:rFonts w:ascii="仿宋_GB2312" w:hAnsi="仿宋_GB2312" w:cs="仿宋_GB2312" w:eastAsia="仿宋_GB2312"/>
                      <w:sz w:val="21"/>
                      <w:color w:val="000000"/>
                    </w:rPr>
                    <w:t>2、重点人标签：对人像多要素聚类档案与重点人库自动碰撞，赋予人像档案重点人标签，实现重点人态势管控，掌控重点人实时位置、研判历史活动规律、分析异常行为，挖掘潜在风险。</w:t>
                  </w:r>
                  <w:r>
                    <w:br/>
                  </w:r>
                  <w:r>
                    <w:rPr>
                      <w:rFonts w:ascii="仿宋_GB2312" w:hAnsi="仿宋_GB2312" w:cs="仿宋_GB2312" w:eastAsia="仿宋_GB2312"/>
                      <w:sz w:val="21"/>
                      <w:color w:val="000000"/>
                    </w:rPr>
                    <w:t>3、实时轨迹追踪：实时刻画目标人员活动轨迹，目标人通过摄像机1分钟内便可记录其位置，按行进路径和时间先后顺序绘制人脸人体全量轨迹线</w:t>
                  </w:r>
                  <w:r>
                    <w:br/>
                  </w:r>
                  <w:r>
                    <w:rPr>
                      <w:rFonts w:ascii="仿宋_GB2312" w:hAnsi="仿宋_GB2312" w:cs="仿宋_GB2312" w:eastAsia="仿宋_GB2312"/>
                      <w:sz w:val="21"/>
                      <w:color w:val="000000"/>
                    </w:rPr>
                    <w:t>4、事后轨迹回溯：刻画全域、全时、全员完整轨迹，快速查看关注人员出现过的位置，还原关注人轨迹、挖掘案件线索信息、固定视频图像证据。</w:t>
                  </w:r>
                  <w:r>
                    <w:br/>
                  </w:r>
                  <w:r>
                    <w:rPr>
                      <w:rFonts w:ascii="仿宋_GB2312" w:hAnsi="仿宋_GB2312" w:cs="仿宋_GB2312" w:eastAsia="仿宋_GB2312"/>
                      <w:sz w:val="21"/>
                      <w:color w:val="000000"/>
                    </w:rPr>
                    <w:t>5、人体找人：通过一张含人体的图片检索目标人员的人像档案轨迹，可查看人员实名信息、证件照，实现挖掘轨迹线索，还原其社会活动情况、分析日常行为规律、预测异常行为风险。</w:t>
                  </w:r>
                  <w:r>
                    <w:br/>
                  </w:r>
                  <w:r>
                    <w:rPr>
                      <w:rFonts w:ascii="仿宋_GB2312" w:hAnsi="仿宋_GB2312" w:cs="仿宋_GB2312" w:eastAsia="仿宋_GB2312"/>
                      <w:sz w:val="21"/>
                      <w:color w:val="000000"/>
                    </w:rPr>
                    <w:t>6、人体同行：支持人体与人体同行发现、人体与背影同行发现、人脸与人体同行发现，</w:t>
                  </w:r>
                  <w:r>
                    <w:br/>
                  </w:r>
                  <w:r>
                    <w:rPr>
                      <w:rFonts w:ascii="仿宋_GB2312" w:hAnsi="仿宋_GB2312" w:cs="仿宋_GB2312" w:eastAsia="仿宋_GB2312"/>
                      <w:sz w:val="21"/>
                      <w:color w:val="000000"/>
                    </w:rPr>
                    <w:t>7、人脸找人：通过一张含人脸的图片检索目标人员的人像档案轨迹，可查看人员实名信息，实现挖掘轨迹线索，还原其社会活动情况、分析日常行为规律、预测异常行为风险。</w:t>
                  </w:r>
                  <w:r>
                    <w:br/>
                  </w:r>
                  <w:r>
                    <w:rPr>
                      <w:rFonts w:ascii="仿宋_GB2312" w:hAnsi="仿宋_GB2312" w:cs="仿宋_GB2312" w:eastAsia="仿宋_GB2312"/>
                      <w:sz w:val="21"/>
                      <w:color w:val="000000"/>
                    </w:rPr>
                    <w:t>8、人脸同行：支持低清低质量模糊人脸间的同行发现，可查看同行次数、时间区间和监控点位等</w:t>
                  </w:r>
                  <w:r>
                    <w:br/>
                  </w:r>
                  <w:r>
                    <w:rPr>
                      <w:rFonts w:ascii="仿宋_GB2312" w:hAnsi="仿宋_GB2312" w:cs="仿宋_GB2312" w:eastAsia="仿宋_GB2312"/>
                      <w:sz w:val="21"/>
                      <w:color w:val="000000"/>
                    </w:rPr>
                    <w:t>9、结构化属性搜档：通过性别、年龄区间、眼镜、帽子、口罩、上衣款式、上衣颜色、下身服饰、下身颜色等人脸、人体的结构化属性信息查找人像档案，可查看目标人员档案实名化信息、重点人标签、历史轨迹及抓拍照。</w:t>
                  </w:r>
                  <w:r>
                    <w:br/>
                  </w:r>
                  <w:r>
                    <w:rPr>
                      <w:rFonts w:ascii="仿宋_GB2312" w:hAnsi="仿宋_GB2312" w:cs="仿宋_GB2312" w:eastAsia="仿宋_GB2312"/>
                      <w:sz w:val="21"/>
                      <w:color w:val="000000"/>
                    </w:rPr>
                    <w:t>10、基础人像功能：档案修改、以图搜图、人证比对、人库比对、人像库交叉比对、人像库管理、摄像机管理等基础人像功能。</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重点人同行关系分析服务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人脸</w:t>
                  </w:r>
                  <w:r>
                    <w:rPr>
                      <w:rFonts w:ascii="仿宋_GB2312" w:hAnsi="仿宋_GB2312" w:cs="仿宋_GB2312" w:eastAsia="仿宋_GB2312"/>
                      <w:sz w:val="21"/>
                      <w:color w:val="000000"/>
                    </w:rPr>
                    <w:t>/人体同行：支持构建以人脸/人体特征为锚点的动态同行关系挖掘体系，通过多目标跟踪技术对不同目标的时空轨迹进行建模，分析移动路径重合度、空间距离阈值及停留点关联性，通过不同目标间的时空轨迹和视觉数据交叉碰撞计算，以全场景人脸数据为核心，挖掘同行关系；</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布控报警服务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支持面向重点人员防控的告警，整合布控管理、人脸预警与人体预警三大功能模块</w:t>
                  </w:r>
                  <w:r>
                    <w:br/>
                  </w:r>
                  <w:r>
                    <w:rPr>
                      <w:rFonts w:ascii="仿宋_GB2312" w:hAnsi="仿宋_GB2312" w:cs="仿宋_GB2312" w:eastAsia="仿宋_GB2312"/>
                      <w:sz w:val="21"/>
                      <w:color w:val="000000"/>
                    </w:rPr>
                    <w:t>1、布控管理模块支持为用户提供灵活高效的布控任务配置与管理能力，支持针对特定目标创建布控任务，自定义布控名称、布控方式、处置类型、布控时效、布控区域与比对相似度阈值，并支持通过任务开关与订阅报警开关灵活管控布控状态，实现多维度精准布防与主动安全管理。</w:t>
                  </w:r>
                  <w:r>
                    <w:br/>
                  </w:r>
                  <w:r>
                    <w:rPr>
                      <w:rFonts w:ascii="仿宋_GB2312" w:hAnsi="仿宋_GB2312" w:cs="仿宋_GB2312" w:eastAsia="仿宋_GB2312"/>
                      <w:sz w:val="21"/>
                      <w:color w:val="000000"/>
                    </w:rPr>
                    <w:t>2、人脸预警模块支持实时归集并展示由人脸布控任务触发的全量告警记录。每条预警记录详细呈现入库照、抓拍照、场景照片、比对相似度、预警时间、抓拍地点及布控任务归属等关键信息，</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智能算法调度服务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智能化动态算法调度能力，可精准对接前端接入视频流数据，通过内置检测模块快速识别质量特征及对应业务场景需求，自动匹配适配的预处理算法模块，结合实时数据质量检测反馈结果，智能筛选最优预处理策略。</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大模型服务部署对接服务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针对平台智能体部署、大模型算法能力部署、大模型调优、视图数据扩容对接适配，包含模型升级、模型蒸馏等。</w:t>
                  </w:r>
                  <w:r>
                    <w:rPr>
                      <w:rFonts w:ascii="仿宋_GB2312" w:hAnsi="仿宋_GB2312" w:cs="仿宋_GB2312" w:eastAsia="仿宋_GB2312"/>
                      <w:sz w:val="21"/>
                      <w:color w:val="000000"/>
                    </w:rPr>
                    <w:t>1、支持第三方视图库厂商基于1400 协议的对接，支持视图库注册、保活、订阅、推送，支持对接多个视图库；支持作为上级平台，订阅下级平台的 1400 人脸、人体数据；</w:t>
                  </w:r>
                  <w:r>
                    <w:br/>
                  </w:r>
                  <w:r>
                    <w:rPr>
                      <w:rFonts w:ascii="仿宋_GB2312" w:hAnsi="仿宋_GB2312" w:cs="仿宋_GB2312" w:eastAsia="仿宋_GB2312"/>
                      <w:sz w:val="21"/>
                      <w:color w:val="000000"/>
                    </w:rPr>
                    <w:t>2、目标订阅：支持通过订阅，结合算法的带置信度人脸识别，提取场景图中的目标人脸特征；</w:t>
                  </w:r>
                  <w:r>
                    <w:br/>
                  </w:r>
                  <w:r>
                    <w:rPr>
                      <w:rFonts w:ascii="仿宋_GB2312" w:hAnsi="仿宋_GB2312" w:cs="仿宋_GB2312" w:eastAsia="仿宋_GB2312"/>
                      <w:sz w:val="21"/>
                      <w:color w:val="000000"/>
                    </w:rPr>
                    <w:t>3、背影目标订阅：支持通过订阅，结合算法的识别能力，提取场景图中的无人脸的背影目标的人体特征；</w:t>
                  </w:r>
                  <w:r>
                    <w:br/>
                  </w:r>
                  <w:r>
                    <w:rPr>
                      <w:rFonts w:ascii="仿宋_GB2312" w:hAnsi="仿宋_GB2312" w:cs="仿宋_GB2312" w:eastAsia="仿宋_GB2312"/>
                      <w:sz w:val="21"/>
                      <w:color w:val="000000"/>
                    </w:rPr>
                    <w:t>4、人脸、人体目标订阅：支持通过订阅，结合算法的识别能力，提取场景图中的所有人脸、人体目标的特征；</w:t>
                  </w:r>
                  <w:r>
                    <w:br/>
                  </w:r>
                  <w:r>
                    <w:rPr>
                      <w:rFonts w:ascii="仿宋_GB2312" w:hAnsi="仿宋_GB2312" w:cs="仿宋_GB2312" w:eastAsia="仿宋_GB2312"/>
                      <w:sz w:val="21"/>
                      <w:color w:val="000000"/>
                    </w:rPr>
                    <w:t>5、人脸、人体目标订阅及关联：支持通过订阅，结合算法的识别能力，提取抓拍图中的人脸、人体目标的特征，并进行关联；</w:t>
                  </w:r>
                  <w:r>
                    <w:br/>
                  </w:r>
                  <w:r>
                    <w:rPr>
                      <w:rFonts w:ascii="仿宋_GB2312" w:hAnsi="仿宋_GB2312" w:cs="仿宋_GB2312" w:eastAsia="仿宋_GB2312"/>
                      <w:sz w:val="21"/>
                      <w:color w:val="000000"/>
                    </w:rPr>
                    <w:t>6、服务探测：支持通过定时任务实现对服务的可用性探测；及时发现依赖服务的健康状态，保障服务稳定性和可用性，支持扩展识别性能；</w:t>
                  </w:r>
                  <w:r>
                    <w:br/>
                  </w:r>
                  <w:r>
                    <w:rPr>
                      <w:rFonts w:ascii="仿宋_GB2312" w:hAnsi="仿宋_GB2312" w:cs="仿宋_GB2312" w:eastAsia="仿宋_GB2312"/>
                      <w:sz w:val="21"/>
                      <w:color w:val="000000"/>
                    </w:rPr>
                    <w:t>7、支持第三方视图库厂商基于1400 协议的对接，支持视图库注册、保活、订阅、推送，支持对接多个视图库；支持作为下级平台，向上级平台注册、保活、推送 1400协议人脸、人体数据以及人体人脸关联关系；</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视图全解析预处理</w:t>
                  </w:r>
                  <w:r>
                    <w:rPr>
                      <w:rFonts w:ascii="仿宋_GB2312" w:hAnsi="仿宋_GB2312" w:cs="仿宋_GB2312" w:eastAsia="仿宋_GB2312"/>
                      <w:sz w:val="21"/>
                      <w:color w:val="000000"/>
                    </w:rPr>
                    <w:t>GPU服务器处理能力提升服务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CPU：国产ARM架构CPU，配置不低于2颗，单颗32核心，主频不低于2.5GHz</w:t>
                  </w:r>
                  <w:r>
                    <w:br/>
                  </w:r>
                  <w:r>
                    <w:rPr>
                      <w:rFonts w:ascii="仿宋_GB2312" w:hAnsi="仿宋_GB2312" w:cs="仿宋_GB2312" w:eastAsia="仿宋_GB2312"/>
                      <w:sz w:val="21"/>
                      <w:color w:val="000000"/>
                    </w:rPr>
                    <w:t>内存：配置</w:t>
                  </w:r>
                  <w:r>
                    <w:rPr>
                      <w:rFonts w:ascii="仿宋_GB2312" w:hAnsi="仿宋_GB2312" w:cs="仿宋_GB2312" w:eastAsia="仿宋_GB2312"/>
                      <w:sz w:val="21"/>
                      <w:color w:val="000000"/>
                    </w:rPr>
                    <w:t>≥256G DDR4 2666MHz</w:t>
                  </w:r>
                  <w:r>
                    <w:br/>
                  </w:r>
                  <w:r>
                    <w:rPr>
                      <w:rFonts w:ascii="仿宋_GB2312" w:hAnsi="仿宋_GB2312" w:cs="仿宋_GB2312" w:eastAsia="仿宋_GB2312"/>
                      <w:sz w:val="21"/>
                      <w:color w:val="000000"/>
                    </w:rPr>
                    <w:t>解析卡：配置</w:t>
                  </w:r>
                  <w:r>
                    <w:rPr>
                      <w:rFonts w:ascii="仿宋_GB2312" w:hAnsi="仿宋_GB2312" w:cs="仿宋_GB2312" w:eastAsia="仿宋_GB2312"/>
                      <w:sz w:val="21"/>
                      <w:color w:val="000000"/>
                    </w:rPr>
                    <w:t>≥4张 Atlas 300V-Pro或相同性能的解析卡</w:t>
                  </w:r>
                  <w:r>
                    <w:br/>
                  </w:r>
                  <w:r>
                    <w:rPr>
                      <w:rFonts w:ascii="仿宋_GB2312" w:hAnsi="仿宋_GB2312" w:cs="仿宋_GB2312" w:eastAsia="仿宋_GB2312"/>
                      <w:sz w:val="21"/>
                      <w:color w:val="000000"/>
                    </w:rPr>
                    <w:t>系统盘：配置</w:t>
                  </w:r>
                  <w:r>
                    <w:rPr>
                      <w:rFonts w:ascii="仿宋_GB2312" w:hAnsi="仿宋_GB2312" w:cs="仿宋_GB2312" w:eastAsia="仿宋_GB2312"/>
                      <w:sz w:val="21"/>
                      <w:color w:val="000000"/>
                    </w:rPr>
                    <w:t>2张 480GB SSD</w:t>
                  </w:r>
                  <w:r>
                    <w:br/>
                  </w:r>
                  <w:r>
                    <w:rPr>
                      <w:rFonts w:ascii="仿宋_GB2312" w:hAnsi="仿宋_GB2312" w:cs="仿宋_GB2312" w:eastAsia="仿宋_GB2312"/>
                      <w:sz w:val="21"/>
                      <w:color w:val="000000"/>
                    </w:rPr>
                    <w:t>数据盘：配置</w:t>
                  </w:r>
                  <w:r>
                    <w:rPr>
                      <w:rFonts w:ascii="仿宋_GB2312" w:hAnsi="仿宋_GB2312" w:cs="仿宋_GB2312" w:eastAsia="仿宋_GB2312"/>
                      <w:sz w:val="21"/>
                      <w:color w:val="000000"/>
                    </w:rPr>
                    <w:t>3张 1.92TB SSD</w:t>
                  </w:r>
                  <w:r>
                    <w:br/>
                  </w:r>
                  <w:r>
                    <w:rPr>
                      <w:rFonts w:ascii="仿宋_GB2312" w:hAnsi="仿宋_GB2312" w:cs="仿宋_GB2312" w:eastAsia="仿宋_GB2312"/>
                      <w:sz w:val="21"/>
                      <w:color w:val="000000"/>
                    </w:rPr>
                    <w:t>RAID卡：至少支持RAID 0/1/5/10/50</w:t>
                  </w:r>
                  <w:r>
                    <w:br/>
                  </w:r>
                  <w:r>
                    <w:rPr>
                      <w:rFonts w:ascii="仿宋_GB2312" w:hAnsi="仿宋_GB2312" w:cs="仿宋_GB2312" w:eastAsia="仿宋_GB2312"/>
                      <w:sz w:val="21"/>
                      <w:color w:val="000000"/>
                    </w:rPr>
                    <w:t>网络接口：配置两个万兆光接口含</w:t>
                  </w:r>
                  <w:r>
                    <w:rPr>
                      <w:rFonts w:ascii="仿宋_GB2312" w:hAnsi="仿宋_GB2312" w:cs="仿宋_GB2312" w:eastAsia="仿宋_GB2312"/>
                      <w:sz w:val="21"/>
                      <w:color w:val="000000"/>
                    </w:rPr>
                    <w:t>850nm多模光模块</w:t>
                  </w:r>
                  <w:r>
                    <w:br/>
                  </w:r>
                  <w:r>
                    <w:rPr>
                      <w:rFonts w:ascii="仿宋_GB2312" w:hAnsi="仿宋_GB2312" w:cs="仿宋_GB2312" w:eastAsia="仿宋_GB2312"/>
                      <w:sz w:val="21"/>
                      <w:color w:val="000000"/>
                    </w:rPr>
                    <w:t>电源：配置</w:t>
                  </w:r>
                  <w:r>
                    <w:rPr>
                      <w:rFonts w:ascii="仿宋_GB2312" w:hAnsi="仿宋_GB2312" w:cs="仿宋_GB2312" w:eastAsia="仿宋_GB2312"/>
                      <w:sz w:val="21"/>
                      <w:color w:val="000000"/>
                    </w:rPr>
                    <w:t>2个2000W冗余电源</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聚档计算</w:t>
                  </w:r>
                  <w:r>
                    <w:rPr>
                      <w:rFonts w:ascii="仿宋_GB2312" w:hAnsi="仿宋_GB2312" w:cs="仿宋_GB2312" w:eastAsia="仿宋_GB2312"/>
                      <w:sz w:val="21"/>
                      <w:color w:val="000000"/>
                    </w:rPr>
                    <w:t>GPU服务器处理能力提升服务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CPU：国产C86架构CPU，配置不低于2颗，单颗24核心，主频≥2. 2GHz</w:t>
                  </w:r>
                  <w:r>
                    <w:br/>
                  </w:r>
                  <w:r>
                    <w:rPr>
                      <w:rFonts w:ascii="仿宋_GB2312" w:hAnsi="仿宋_GB2312" w:cs="仿宋_GB2312" w:eastAsia="仿宋_GB2312"/>
                      <w:sz w:val="21"/>
                      <w:color w:val="000000"/>
                    </w:rPr>
                    <w:t>内存：配置</w:t>
                  </w:r>
                  <w:r>
                    <w:rPr>
                      <w:rFonts w:ascii="仿宋_GB2312" w:hAnsi="仿宋_GB2312" w:cs="仿宋_GB2312" w:eastAsia="仿宋_GB2312"/>
                      <w:sz w:val="21"/>
                      <w:color w:val="000000"/>
                    </w:rPr>
                    <w:t>≥256G DDR 2666MHz</w:t>
                  </w:r>
                  <w:r>
                    <w:br/>
                  </w:r>
                  <w:r>
                    <w:rPr>
                      <w:rFonts w:ascii="仿宋_GB2312" w:hAnsi="仿宋_GB2312" w:cs="仿宋_GB2312" w:eastAsia="仿宋_GB2312"/>
                      <w:sz w:val="21"/>
                      <w:color w:val="000000"/>
                    </w:rPr>
                    <w:t>系统盘：配置</w:t>
                  </w:r>
                  <w:r>
                    <w:rPr>
                      <w:rFonts w:ascii="仿宋_GB2312" w:hAnsi="仿宋_GB2312" w:cs="仿宋_GB2312" w:eastAsia="仿宋_GB2312"/>
                      <w:sz w:val="21"/>
                      <w:color w:val="000000"/>
                    </w:rPr>
                    <w:t>2张 480GB SSD</w:t>
                  </w:r>
                  <w:r>
                    <w:br/>
                  </w:r>
                  <w:r>
                    <w:rPr>
                      <w:rFonts w:ascii="仿宋_GB2312" w:hAnsi="仿宋_GB2312" w:cs="仿宋_GB2312" w:eastAsia="仿宋_GB2312"/>
                      <w:sz w:val="21"/>
                      <w:color w:val="000000"/>
                    </w:rPr>
                    <w:t>数据盘：配置</w:t>
                  </w:r>
                  <w:r>
                    <w:rPr>
                      <w:rFonts w:ascii="仿宋_GB2312" w:hAnsi="仿宋_GB2312" w:cs="仿宋_GB2312" w:eastAsia="仿宋_GB2312"/>
                      <w:sz w:val="21"/>
                      <w:color w:val="000000"/>
                    </w:rPr>
                    <w:t>3张 1.92TB SSD</w:t>
                  </w:r>
                  <w:r>
                    <w:br/>
                  </w:r>
                  <w:r>
                    <w:rPr>
                      <w:rFonts w:ascii="仿宋_GB2312" w:hAnsi="仿宋_GB2312" w:cs="仿宋_GB2312" w:eastAsia="仿宋_GB2312"/>
                      <w:sz w:val="21"/>
                      <w:color w:val="000000"/>
                    </w:rPr>
                    <w:t>RAID卡：≥RAID 0/1/5/10/50</w:t>
                  </w:r>
                  <w:r>
                    <w:br/>
                  </w:r>
                  <w:r>
                    <w:rPr>
                      <w:rFonts w:ascii="仿宋_GB2312" w:hAnsi="仿宋_GB2312" w:cs="仿宋_GB2312" w:eastAsia="仿宋_GB2312"/>
                      <w:sz w:val="21"/>
                      <w:color w:val="000000"/>
                    </w:rPr>
                    <w:t>网络接口：配置两个万兆光接口含</w:t>
                  </w:r>
                  <w:r>
                    <w:rPr>
                      <w:rFonts w:ascii="仿宋_GB2312" w:hAnsi="仿宋_GB2312" w:cs="仿宋_GB2312" w:eastAsia="仿宋_GB2312"/>
                      <w:sz w:val="21"/>
                      <w:color w:val="000000"/>
                    </w:rPr>
                    <w:t>850nm多模光模块</w:t>
                  </w:r>
                  <w:r>
                    <w:br/>
                  </w:r>
                  <w:r>
                    <w:rPr>
                      <w:rFonts w:ascii="仿宋_GB2312" w:hAnsi="仿宋_GB2312" w:cs="仿宋_GB2312" w:eastAsia="仿宋_GB2312"/>
                      <w:sz w:val="21"/>
                      <w:color w:val="000000"/>
                    </w:rPr>
                    <w:t>电源：配置</w:t>
                  </w:r>
                  <w:r>
                    <w:rPr>
                      <w:rFonts w:ascii="仿宋_GB2312" w:hAnsi="仿宋_GB2312" w:cs="仿宋_GB2312" w:eastAsia="仿宋_GB2312"/>
                      <w:sz w:val="21"/>
                      <w:color w:val="000000"/>
                    </w:rPr>
                    <w:t>2个800W冗余电源</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数据对接网关服务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1、支持感知类数据（如卡口过车、人脸分析、RFID、人脸告警等）同网接入汇聚或共享分发</w:t>
                  </w:r>
                  <w:r>
                    <w:br/>
                  </w:r>
                  <w:r>
                    <w:rPr>
                      <w:rFonts w:ascii="仿宋_GB2312" w:hAnsi="仿宋_GB2312" w:cs="仿宋_GB2312" w:eastAsia="仿宋_GB2312"/>
                    </w:rPr>
                    <w:t xml:space="preserve"> 2、支持感知类数据（如卡口过车、人脸分析、RFID、人脸告警等）HTTP方式跨网或FTP跨网</w:t>
                  </w:r>
                  <w:r>
                    <w:br/>
                  </w:r>
                  <w:r>
                    <w:rPr>
                      <w:rFonts w:ascii="仿宋_GB2312" w:hAnsi="仿宋_GB2312" w:cs="仿宋_GB2312" w:eastAsia="仿宋_GB2312"/>
                    </w:rPr>
                    <w:t xml:space="preserve"> 3、以任务方式进行数据处理过程管理，包括任务的创建、修改、删除及运行状态的可查看等能力</w:t>
                  </w:r>
                  <w:r>
                    <w:br/>
                  </w:r>
                  <w:r>
                    <w:rPr>
                      <w:rFonts w:ascii="仿宋_GB2312" w:hAnsi="仿宋_GB2312" w:cs="仿宋_GB2312" w:eastAsia="仿宋_GB2312"/>
                    </w:rPr>
                    <w:t xml:space="preserve"> 4、支持多种任务运行方式切换，任务运行频率可动态调整</w:t>
                  </w:r>
                  <w:r>
                    <w:br/>
                  </w:r>
                  <w:r>
                    <w:rPr>
                      <w:rFonts w:ascii="仿宋_GB2312" w:hAnsi="仿宋_GB2312" w:cs="仿宋_GB2312" w:eastAsia="仿宋_GB2312"/>
                    </w:rPr>
                    <w:t xml:space="preserve"> 5、任务处理数据速率可调配，实现限流</w:t>
                  </w:r>
                  <w:r>
                    <w:br/>
                  </w:r>
                  <w:r>
                    <w:rPr>
                      <w:rFonts w:ascii="仿宋_GB2312" w:hAnsi="仿宋_GB2312" w:cs="仿宋_GB2312" w:eastAsia="仿宋_GB2312"/>
                    </w:rPr>
                    <w:t xml:space="preserve"> 6、支持配置化方式实现对接入汇聚和共享推送数据范围的管理</w:t>
                  </w:r>
                  <w:r>
                    <w:br/>
                  </w:r>
                  <w:r>
                    <w:rPr>
                      <w:rFonts w:ascii="仿宋_GB2312" w:hAnsi="仿宋_GB2312" w:cs="仿宋_GB2312" w:eastAsia="仿宋_GB2312"/>
                    </w:rPr>
                    <w:t xml:space="preserve"> 7、支持差异化协议适配及默认值补充</w:t>
                  </w:r>
                  <w:r>
                    <w:br/>
                  </w:r>
                  <w:r>
                    <w:rPr>
                      <w:rFonts w:ascii="仿宋_GB2312" w:hAnsi="仿宋_GB2312" w:cs="仿宋_GB2312" w:eastAsia="仿宋_GB2312"/>
                    </w:rPr>
                    <w:t xml:space="preserve"> 8、支持任务处理过程各数据状态的记录及统计</w:t>
                  </w:r>
                  <w:r>
                    <w:br/>
                  </w:r>
                  <w:r>
                    <w:rPr>
                      <w:rFonts w:ascii="仿宋_GB2312" w:hAnsi="仿宋_GB2312" w:cs="仿宋_GB2312" w:eastAsia="仿宋_GB2312"/>
                    </w:rPr>
                    <w:t xml:space="preserve"> 9、支持协议双方字段值的不停服模式下配置化方式实现匹配转换</w:t>
                  </w:r>
                  <w:r>
                    <w:br/>
                  </w:r>
                  <w:r>
                    <w:rPr>
                      <w:rFonts w:ascii="仿宋_GB2312" w:hAnsi="仿宋_GB2312" w:cs="仿宋_GB2312" w:eastAsia="仿宋_GB2312"/>
                    </w:rPr>
                    <w:t xml:space="preserve"> 10、支持通过特性化参数值控制任务执行过程的多样化处理能力</w:t>
                  </w:r>
                  <w:r>
                    <w:br/>
                  </w:r>
                  <w:r>
                    <w:rPr>
                      <w:rFonts w:ascii="仿宋_GB2312" w:hAnsi="仿宋_GB2312" w:cs="仿宋_GB2312" w:eastAsia="仿宋_GB2312"/>
                    </w:rPr>
                    <w:t xml:space="preserve"> 11、支持视图结构化数据和图片Base64流接入与传输</w:t>
                  </w:r>
                  <w:r>
                    <w:br/>
                  </w:r>
                  <w:r>
                    <w:rPr>
                      <w:rFonts w:ascii="仿宋_GB2312" w:hAnsi="仿宋_GB2312" w:cs="仿宋_GB2312" w:eastAsia="仿宋_GB2312"/>
                    </w:rPr>
                    <w:t xml:space="preserve"> 12、支持调用PaaS域存储服务存储图片，并重新组合视图结构化数据推送平台消息服务平台</w:t>
                  </w:r>
                  <w:r>
                    <w:br/>
                  </w:r>
                  <w:r>
                    <w:rPr>
                      <w:rFonts w:ascii="仿宋_GB2312" w:hAnsi="仿宋_GB2312" w:cs="仿宋_GB2312" w:eastAsia="仿宋_GB2312"/>
                    </w:rPr>
                    <w:t xml:space="preserve"> 13、支持对图片相对路径二次拼接固定图片网关代理地址功能，并重新组合视图结构化数据推送平台消息服务平台</w:t>
                  </w:r>
                  <w:r>
                    <w:br/>
                  </w:r>
                  <w:r>
                    <w:rPr>
                      <w:rFonts w:ascii="仿宋_GB2312" w:hAnsi="仿宋_GB2312" w:cs="仿宋_GB2312" w:eastAsia="仿宋_GB2312"/>
                    </w:rPr>
                    <w:t xml:space="preserve"> 14、支持统一运维的部署、安装和升级</w:t>
                  </w:r>
                  <w:r>
                    <w:br/>
                  </w:r>
                  <w:r>
                    <w:rPr>
                      <w:rFonts w:ascii="仿宋_GB2312" w:hAnsi="仿宋_GB2312" w:cs="仿宋_GB2312" w:eastAsia="仿宋_GB2312"/>
                    </w:rPr>
                    <w:t xml:space="preserve"> 15、支持横向不停服扩容，各节点互为备份</w:t>
                  </w:r>
                  <w:r>
                    <w:br/>
                  </w:r>
                  <w:r>
                    <w:rPr>
                      <w:rFonts w:ascii="仿宋_GB2312" w:hAnsi="仿宋_GB2312" w:cs="仿宋_GB2312" w:eastAsia="仿宋_GB2312"/>
                    </w:rPr>
                    <w:t xml:space="preserve"> 16、支持复制任务方式同服务器不停服扩容，各任运行依据数据源头特性，自动平衡</w:t>
                  </w:r>
                  <w:r>
                    <w:br/>
                  </w:r>
                  <w:r>
                    <w:rPr>
                      <w:rFonts w:ascii="仿宋_GB2312" w:hAnsi="仿宋_GB2312" w:cs="仿宋_GB2312" w:eastAsia="仿宋_GB2312"/>
                    </w:rPr>
                    <w:t xml:space="preserve"> 17、任务运行过程可根据上级平台能力，实现数据处理推送动态平衡</w:t>
                  </w:r>
                  <w:r>
                    <w:br/>
                  </w:r>
                  <w:r>
                    <w:rPr>
                      <w:rFonts w:ascii="仿宋_GB2312" w:hAnsi="仿宋_GB2312" w:cs="仿宋_GB2312" w:eastAsia="仿宋_GB2312"/>
                    </w:rPr>
                    <w:t xml:space="preserve"> 18、支持跨双网及跨三网能力</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538"/>
                  <w:gridSpan w:val="5"/>
                  <w:tcBorders>
                    <w:top w:val="non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非授权外联管理系统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非授权外联管理系统服务</w:t>
                  </w:r>
                </w:p>
              </w:tc>
              <w:tc>
                <w:tcPr>
                  <w:tcW w:type="dxa" w:w="1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提供专网内终端电脑的入网管控，异常接入告警，以及网络设备的违规外联、串网阻断。</w:t>
                  </w:r>
                  <w:r>
                    <w:br/>
                  </w:r>
                  <w:r>
                    <w:rPr>
                      <w:rFonts w:ascii="仿宋_GB2312" w:hAnsi="仿宋_GB2312" w:cs="仿宋_GB2312" w:eastAsia="仿宋_GB2312"/>
                      <w:sz w:val="21"/>
                      <w:color w:val="000000"/>
                    </w:rPr>
                    <w:t>1、系统能发现并阻断由插错网线、熔错光纤、插入可与互联网通信的设备导致的违规外联事件</w:t>
                  </w:r>
                  <w:r>
                    <w:br/>
                  </w:r>
                  <w:r>
                    <w:rPr>
                      <w:rFonts w:ascii="仿宋_GB2312" w:hAnsi="仿宋_GB2312" w:cs="仿宋_GB2312" w:eastAsia="仿宋_GB2312"/>
                      <w:sz w:val="21"/>
                      <w:color w:val="000000"/>
                    </w:rPr>
                    <w:t>2、系统支持对网管交换机的控制，能自动分析交换机端口使用状态，区分已使用和未使用的端口，支持单个和一键关闭未使用端口</w:t>
                  </w:r>
                  <w:r>
                    <w:br/>
                  </w:r>
                  <w:r>
                    <w:rPr>
                      <w:rFonts w:ascii="仿宋_GB2312" w:hAnsi="仿宋_GB2312" w:cs="仿宋_GB2312" w:eastAsia="仿宋_GB2312"/>
                      <w:sz w:val="21"/>
                      <w:color w:val="000000"/>
                    </w:rPr>
                    <w:t>3、系统支持逻辑隔离和物理隔离，通过对交换机MAC地址表采集，针对每个网口建立MAC地址基线，网口接入基线外MAC地址时，立刻阻断对应设备通信，可进一步关闭物理网口通信</w:t>
                  </w:r>
                  <w:r>
                    <w:br/>
                  </w:r>
                  <w:r>
                    <w:rPr>
                      <w:rFonts w:ascii="仿宋_GB2312" w:hAnsi="仿宋_GB2312" w:cs="仿宋_GB2312" w:eastAsia="仿宋_GB2312"/>
                      <w:sz w:val="21"/>
                      <w:color w:val="000000"/>
                    </w:rPr>
                    <w:t>4、系统支持非授权设备接入预警阻断功能，告警信息支持一键处置放通，用户未处置放通前非授权设备无法入网，并可对告警信息进行查询</w:t>
                  </w:r>
                  <w:r>
                    <w:br/>
                  </w:r>
                  <w:r>
                    <w:rPr>
                      <w:rFonts w:ascii="仿宋_GB2312" w:hAnsi="仿宋_GB2312" w:cs="仿宋_GB2312" w:eastAsia="仿宋_GB2312"/>
                      <w:sz w:val="21"/>
                      <w:color w:val="000000"/>
                    </w:rPr>
                    <w:t>5、系统支持交换机ARP表项采集功能，可实现采集交换机上学习到的IP地址和MAC地址的对应关系记录</w:t>
                  </w:r>
                  <w:r>
                    <w:br/>
                  </w:r>
                  <w:r>
                    <w:rPr>
                      <w:rFonts w:ascii="仿宋_GB2312" w:hAnsi="仿宋_GB2312" w:cs="仿宋_GB2312" w:eastAsia="仿宋_GB2312"/>
                      <w:sz w:val="21"/>
                      <w:color w:val="000000"/>
                    </w:rPr>
                    <w:t>6、系统支持网段管理功能，支持网内网段探查，支持探查任务启停、执行进度查看，支持网段IP占用情况分析展示</w:t>
                  </w:r>
                  <w:r>
                    <w:br/>
                  </w:r>
                  <w:r>
                    <w:rPr>
                      <w:rFonts w:ascii="仿宋_GB2312" w:hAnsi="仿宋_GB2312" w:cs="仿宋_GB2312" w:eastAsia="仿宋_GB2312"/>
                      <w:sz w:val="21"/>
                      <w:color w:val="000000"/>
                    </w:rPr>
                    <w:t>7、系统支持用户管理、用户权限管理，网段管理功能，系统操作日志管理功能</w:t>
                  </w:r>
                  <w:r>
                    <w:br/>
                  </w:r>
                  <w:r>
                    <w:rPr>
                      <w:rFonts w:ascii="仿宋_GB2312" w:hAnsi="仿宋_GB2312" w:cs="仿宋_GB2312" w:eastAsia="仿宋_GB2312"/>
                      <w:sz w:val="21"/>
                      <w:color w:val="000000"/>
                    </w:rPr>
                    <w:t>8、系统支持交换机CPU、内存使用情况、版本情况监测</w:t>
                  </w:r>
                  <w:r>
                    <w:br/>
                  </w:r>
                  <w:r>
                    <w:rPr>
                      <w:rFonts w:ascii="仿宋_GB2312" w:hAnsi="仿宋_GB2312" w:cs="仿宋_GB2312" w:eastAsia="仿宋_GB2312"/>
                      <w:sz w:val="21"/>
                      <w:b/>
                      <w:color w:val="000000"/>
                    </w:rPr>
                    <w:t>含</w:t>
                  </w:r>
                  <w:r>
                    <w:rPr>
                      <w:rFonts w:ascii="仿宋_GB2312" w:hAnsi="仿宋_GB2312" w:cs="仿宋_GB2312" w:eastAsia="仿宋_GB2312"/>
                      <w:sz w:val="21"/>
                      <w:b/>
                      <w:color w:val="000000"/>
                    </w:rPr>
                    <w:t>20个可网管交换机节点及2年授权和原厂服务</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智能安全接入网关</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智能安全接入网关</w:t>
                  </w:r>
                  <w:r>
                    <w:rPr>
                      <w:rFonts w:ascii="仿宋_GB2312" w:hAnsi="仿宋_GB2312" w:cs="仿宋_GB2312" w:eastAsia="仿宋_GB2312"/>
                      <w:sz w:val="21"/>
                      <w:color w:val="000000"/>
                    </w:rPr>
                    <w:t>≥ 5个10/100M自适应口，支持全/半双工模式，支持配置本机管理IP和管理平台地址，并支持自动注册；支持IP/MAC自学习与上报；支持远程控制端口的数据转发，支持三元组绑定关系配置以及TCP/UDP协议通信端口管控。每台网关可配置策略数不少于32条。</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异形网络适配器</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异形接口网络适配器，接口速率</w:t>
                  </w:r>
                  <w:r>
                    <w:rPr>
                      <w:rFonts w:ascii="仿宋_GB2312" w:hAnsi="仿宋_GB2312" w:cs="仿宋_GB2312" w:eastAsia="仿宋_GB2312"/>
                      <w:sz w:val="21"/>
                      <w:color w:val="000000"/>
                    </w:rPr>
                    <w:t>100/1000Mbps自适应，全双工模式，提供PCIE主机接口，支持原主机操作系统。</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538"/>
                  <w:gridSpan w:val="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系统集成</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系统集成</w:t>
                  </w:r>
                </w:p>
              </w:tc>
              <w:tc>
                <w:tcPr>
                  <w:tcW w:type="dxa" w:w="192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系统数据配置及系统联调联测等</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1）由甲方组织或委托相关部门服务期间进行现场巡检、验收。 2）验收依据：合同文本、合同附件、招标文件及投标文件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进度款，项目验收合格后，达到付款条件起14个工作日内，支付合同总金额的10.0%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协商、仲裁、诉讼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2、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一般资格审查</w:t>
            </w:r>
          </w:p>
        </w:tc>
        <w:tc>
          <w:tcPr>
            <w:tcW w:type="dxa" w:w="3322"/>
          </w:tcPr>
          <w:p>
            <w:pPr>
              <w:pStyle w:val="null3"/>
            </w:pPr>
            <w:r>
              <w:rPr>
                <w:rFonts w:ascii="仿宋_GB2312" w:hAnsi="仿宋_GB2312" w:cs="仿宋_GB2312" w:eastAsia="仿宋_GB2312"/>
              </w:rPr>
              <w:t>①主体资格：具有独立承担民事责任的能力，提供营业执照、税务登记证、组织机构代码证或登载有统一社会信用代码的营业执照或其他合法组织登记证书；②供应商应提供健全的财务会计制度的证明材料：提供具有财务审计资质单位出具的2024年或2025年度财务审计报告（成立时间至开标时间不足一年的可提供成立后任意时段的资产负债表、现金流量表、利润表）或开标前六个月内其基本账户银行出具的资信证明（附开户许可证或基本账户证明）；③税收缴纳证明：提供截止至开标时间前六个月内任意一个月的缴费凭据（依法免税的投标人应提供相关文件证明） ；④提供截止至开标时间前六个月内任意一个月的社保缴费凭据或社保机构开具的社会保险参保缴费情况证明（依法不需要缴纳社会保障资金的投标人应提供相关证明）；⑤专业技术能力证明：提供具有履行本合同所必需的设备和专业技术能力的书面声明；⑥无重大违法记录声明：提供参加本次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已标价服务清单.docx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1、报价货币符合采购文件要求 ; 2、未超出采购预算或采购文件规定的最高限价</w:t>
            </w:r>
          </w:p>
        </w:tc>
        <w:tc>
          <w:tcPr>
            <w:tcW w:type="dxa" w:w="1661"/>
          </w:tcPr>
          <w:p>
            <w:pPr>
              <w:pStyle w:val="null3"/>
            </w:pPr>
            <w:r>
              <w:rPr>
                <w:rFonts w:ascii="仿宋_GB2312" w:hAnsi="仿宋_GB2312" w:cs="仿宋_GB2312" w:eastAsia="仿宋_GB2312"/>
              </w:rPr>
              <w:t>已标价服务清单.docx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符合投标文件格式签署盖章要求</w:t>
            </w:r>
          </w:p>
        </w:tc>
        <w:tc>
          <w:tcPr>
            <w:tcW w:type="dxa" w:w="1661"/>
          </w:tcPr>
          <w:p>
            <w:pPr>
              <w:pStyle w:val="null3"/>
            </w:pPr>
            <w:r>
              <w:rPr>
                <w:rFonts w:ascii="仿宋_GB2312" w:hAnsi="仿宋_GB2312" w:cs="仿宋_GB2312" w:eastAsia="仿宋_GB2312"/>
              </w:rPr>
              <w:t>已标价服务清单.docx 业绩.docx 法定代表人身份证明书与法定代表人授权书.docx 中小企业声明函 承诺书.docx 商务应答表.docx 服务条款响应偏离表.docx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供应商提供针对本项目的总体实施方案，内容包括但不限于：①项目计划安排；②项目质量保障措施；③项目需求分析；④项目重、难点分析。 2、评审标准 ①完整性：方案须全面，对评审内容中的各项要求有详细描述及说明； ②可实施性：切合本项目实际情况，实施步骤清晰、合理；③针对性：方案能够紧扣项目实际情况，内容科学合理。 3、赋分标准 ①项目计划安排：每满足一项评审标准得1分，满分3分；②项目质量保障措施：每满足一项评审标准得2分，满分6分； ③项目需求分析：每满足一项评审标准得2分，满分6分；④项目重、难点分析：每满足一项评审标准得1分，满分3分。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1、评审内容 供应商提供针对本项目的技术服务方案，内容包括但不限于：①项目开发建设方案；②测试、调试上线使用方案；③进度保障组织方案；④售后服务支持能力和承诺。 2、评审标准 ①完整性：方案及相关措施内容全面，对评审内容中的各项要求有详细描述及说明；②可实施性：方案及相关措施科学合理，可操作性强； ③针对性：方案及相关措施能紧扣本项目实际情况，满足本项目各项具体要求。 3、赋分标准 ①项目开发建设方案：每满足一项评审标准得2分，满分6分；②测试、调试上线使用方案：每满足一项评审标准得2分，满分6分； ③进度保障组织方案：每满足一项评审标准得2分，满分6分。④售后服务支持能力和承诺：每满足一项评审标准得2分，满分6分。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1、评审内容 供应商提供提供针对本项目制定专项保密措施方案，内容包括但不限于：①项目风险识别与应对措施；②保密承诺。 2、评审标准 ①完整性：方案及相关措施内容全面，对评审内容中的各项要求有详细描述及说明； ②可实施性：方案及相关措施科学合理，可操作性强； ③针对性：方案及相关措施能紧扣本项目实际情况，满足本项目各项具体要求。 3、赋分标准①项目风险识别与应对措施:每满足一项评审标准得2分，满分6分；②保密承诺:每满足一项评审标准得2分，满分6分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提供针对本项目的应急预案，项目实施过程中针对突发事件和重大业务时间节点的风险防范措施及应急突发事件的处理预案。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供应商根据本项目涉及系统操作的实际需求提供培训方案，确保使用人员能够独立熟练操作和简单维护，内容包括但不限于： ①培训计划； ②培训方式及内容。 2、评审标准 ①完整性：方案须全面，对评审内容中的各项要求有详细描述及说明； ②可实施性：切合本项目实际情况，步骤清晰、合理，操作性强； ③针对性：方案能够紧扣项目实际情况，内容科学合理。 3、赋分标准 ①培训计划：每满足一项评审标准得1.5分，满分4.5分； ②培训方式及内容：每满足一项评审标准得1.5分，满分4.5分。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1、拟派项目负责人具有相关专业高级职称得2分；具有相关专业中级职称得1分，没有不得分。 2、项目组人员中（项目负责人除外）每具有一个相关专业中级职称得1分，每具有一个相关专业高级职称得2分，本项最高得4分，没有不得分。 3、项目团队配置 ①实施团队人员配备10人以上得3分； ②实施团队人员配备5-10人得2分； ③实施团队人员配备1-5人得1分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提供2023年1月1日以来供应商类似项目，附中标通知书或业绩合同复印件加盖公章（日期以中标通知书或合同签订时间为准），每提供一个业绩得2分，满分6分；未提供不计分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1.承诺：接受采购人对服务的考核、监督及管理，定期调研采购人对服务质量的满意度并加以改进，确保服务工作的优质高效，得1分。 2.供应商可根据自身情况提供其他利于本项目开展的承诺，每提供1条，得1分，满分2分。无承诺不得分。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供应商根据本项目采购内容提出有利于项目实施的合理化建议合理化建议，每提供1条得1分，最多得3分，不提供不得分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已标价服务清单.docx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已标价服务清单.docx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详见附件：已标价服务清单.docx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