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3E96DA">
      <w:pPr>
        <w:jc w:val="center"/>
        <w:rPr>
          <w:rFonts w:hint="eastAsia"/>
          <w:b/>
          <w:bCs/>
          <w:sz w:val="28"/>
          <w:szCs w:val="36"/>
          <w:lang w:val="en-US" w:eastAsia="zh-CN"/>
        </w:rPr>
      </w:pPr>
      <w:r>
        <w:rPr>
          <w:rFonts w:hint="eastAsia"/>
          <w:b/>
          <w:bCs/>
          <w:sz w:val="28"/>
          <w:szCs w:val="36"/>
          <w:lang w:val="en-US" w:eastAsia="zh-CN"/>
        </w:rPr>
        <w:t>已标价服务清单</w:t>
      </w:r>
    </w:p>
    <w:tbl>
      <w:tblPr>
        <w:tblStyle w:val="2"/>
        <w:tblW w:w="942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24"/>
        <w:gridCol w:w="752"/>
        <w:gridCol w:w="5309"/>
        <w:gridCol w:w="863"/>
        <w:gridCol w:w="625"/>
        <w:gridCol w:w="625"/>
        <w:gridCol w:w="625"/>
      </w:tblGrid>
      <w:tr w14:paraId="33A92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jc w:val="center"/>
        </w:trPr>
        <w:tc>
          <w:tcPr>
            <w:tcW w:w="62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48B1C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7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99362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服务</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内容</w:t>
            </w:r>
          </w:p>
        </w:tc>
        <w:tc>
          <w:tcPr>
            <w:tcW w:w="530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65EBA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服务描述</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14:paraId="2BEAC0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数量</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3DD56A2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2679C720">
            <w:pPr>
              <w:keepNext w:val="0"/>
              <w:keepLines w:val="0"/>
              <w:widowControl/>
              <w:suppressLineNumbers w:val="0"/>
              <w:jc w:val="center"/>
              <w:textAlignment w:val="center"/>
              <w:rPr>
                <w:rFonts w:hint="default"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单价</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680ED7A9">
            <w:pPr>
              <w:keepNext w:val="0"/>
              <w:keepLines w:val="0"/>
              <w:widowControl/>
              <w:suppressLineNumbers w:val="0"/>
              <w:jc w:val="center"/>
              <w:textAlignment w:val="center"/>
              <w:rPr>
                <w:rFonts w:hint="default"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总</w:t>
            </w:r>
            <w:r>
              <w:rPr>
                <w:rFonts w:hint="eastAsia" w:ascii="宋体" w:hAnsi="宋体" w:cs="宋体"/>
                <w:b/>
                <w:bCs/>
                <w:i w:val="0"/>
                <w:iCs w:val="0"/>
                <w:color w:val="000000"/>
                <w:kern w:val="0"/>
                <w:sz w:val="18"/>
                <w:szCs w:val="18"/>
                <w:u w:val="none"/>
                <w:lang w:val="en-US" w:eastAsia="zh-CN" w:bidi="ar"/>
              </w:rPr>
              <w:t>计</w:t>
            </w:r>
          </w:p>
        </w:tc>
      </w:tr>
      <w:tr w14:paraId="0B632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423" w:type="dxa"/>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86D7FD">
            <w:pPr>
              <w:keepNext w:val="0"/>
              <w:keepLines w:val="0"/>
              <w:widowControl/>
              <w:suppressLineNumbers w:val="0"/>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视图大模型解析能力扩容</w:t>
            </w:r>
          </w:p>
        </w:tc>
      </w:tr>
      <w:tr w14:paraId="12F52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24" w:type="dxa"/>
            <w:tcBorders>
              <w:top w:val="single" w:color="000000" w:sz="4" w:space="0"/>
              <w:left w:val="single" w:color="000000" w:sz="4" w:space="0"/>
              <w:bottom w:val="single" w:color="000000" w:sz="4" w:space="0"/>
              <w:right w:val="single" w:color="000000" w:sz="4" w:space="0"/>
            </w:tcBorders>
            <w:noWrap w:val="0"/>
            <w:vAlign w:val="center"/>
          </w:tcPr>
          <w:p w14:paraId="4CA1D6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noWrap w:val="0"/>
            <w:vAlign w:val="center"/>
          </w:tcPr>
          <w:p w14:paraId="4C930F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视频流解析算法服务</w:t>
            </w:r>
          </w:p>
        </w:tc>
        <w:tc>
          <w:tcPr>
            <w:tcW w:w="5309" w:type="dxa"/>
            <w:tcBorders>
              <w:top w:val="single" w:color="000000" w:sz="4" w:space="0"/>
              <w:left w:val="single" w:color="000000" w:sz="4" w:space="0"/>
              <w:bottom w:val="single" w:color="000000" w:sz="4" w:space="0"/>
              <w:right w:val="single" w:color="000000" w:sz="4" w:space="0"/>
            </w:tcBorders>
            <w:noWrap w:val="0"/>
            <w:vAlign w:val="top"/>
          </w:tcPr>
          <w:p w14:paraId="09489FA4">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视频预处理：对视频流中行人目标的人脸、人体进行检测、定位、预处理，提取人像全要素；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复杂场景要素识别：可同时检测视频中的多个人脸、人体目标；支持检测目标的多帧跟踪；支持不同视觉距离、视觉角度、光照条件、遮挡条件等状态下的人像全要素提取；</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人脸全要素提取：支持低质量场景画面中提取人脸小图，包含正面人脸、侧面人脸、俯拍人脸和遮挡状态人脸等；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人体全要素提取算法：支持在低质量场景画面中提取人体小图，包含正面人体、侧面人体、俯拍人体和遮挡状态人体等；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人体特征分析算法：支持对视频中目标性别、头部标志物、上身纹样/款式/颜色、下身服饰、附属物品、发型、鞋子款式、携带物、行为、特种服装、运动方向等进行识别。</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14:paraId="3AB5A0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3F5EF9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39027D1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32B3063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614B0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24" w:type="dxa"/>
            <w:tcBorders>
              <w:top w:val="single" w:color="000000" w:sz="4" w:space="0"/>
              <w:left w:val="single" w:color="000000" w:sz="4" w:space="0"/>
              <w:bottom w:val="single" w:color="000000" w:sz="4" w:space="0"/>
              <w:right w:val="single" w:color="000000" w:sz="4" w:space="0"/>
            </w:tcBorders>
            <w:noWrap w:val="0"/>
            <w:vAlign w:val="center"/>
          </w:tcPr>
          <w:p w14:paraId="305EE9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noWrap w:val="0"/>
            <w:vAlign w:val="center"/>
          </w:tcPr>
          <w:p w14:paraId="5D88EB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图片流解析算法服务</w:t>
            </w:r>
          </w:p>
        </w:tc>
        <w:tc>
          <w:tcPr>
            <w:tcW w:w="5309" w:type="dxa"/>
            <w:tcBorders>
              <w:top w:val="single" w:color="000000" w:sz="4" w:space="0"/>
              <w:left w:val="single" w:color="000000" w:sz="4" w:space="0"/>
              <w:bottom w:val="single" w:color="000000" w:sz="4" w:space="0"/>
              <w:right w:val="single" w:color="000000" w:sz="4" w:space="0"/>
            </w:tcBorders>
            <w:noWrap w:val="0"/>
            <w:vAlign w:val="top"/>
          </w:tcPr>
          <w:p w14:paraId="1626AC4B">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复杂场景要素提取：可同时检测图片中的人脸、人体目标，并准确区分类别；可同时检测图片中的多个人脸、人体目标；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脸全要素提取：支持低质量场景画面中提取人脸小图，包含正面人脸、侧面人脸、俯拍人脸和遮挡状态人脸等；支持在目标检测识别过程中同步抽取目标的二进制特征；支持在低质量视频中，判断视觉要素为人脸要素的概率、判断人脸偏航、俯仰和滚转角度、人脸模糊程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人体全要素提取：支持在低质量场景画面中提取人体小图，包含正面人体、侧面人体、俯拍人体和遮挡状态人体等；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人体特征分析：支持对图片中目标性别、头部标志物、上身纹样/款式/颜色、下身服饰、附属物品、发型、鞋子款式、携带物、行为、特种服装等进行识别。</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14:paraId="63723F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3B09A3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2CE43A0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3290E7C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29C47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24" w:type="dxa"/>
            <w:tcBorders>
              <w:top w:val="single" w:color="000000" w:sz="4" w:space="0"/>
              <w:left w:val="single" w:color="000000" w:sz="4" w:space="0"/>
              <w:bottom w:val="single" w:color="000000" w:sz="4" w:space="0"/>
              <w:right w:val="single" w:color="000000" w:sz="4" w:space="0"/>
            </w:tcBorders>
            <w:noWrap w:val="0"/>
            <w:vAlign w:val="center"/>
          </w:tcPr>
          <w:p w14:paraId="0BD8BB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52" w:type="dxa"/>
            <w:tcBorders>
              <w:top w:val="single" w:color="000000" w:sz="4" w:space="0"/>
              <w:left w:val="single" w:color="000000" w:sz="4" w:space="0"/>
              <w:bottom w:val="single" w:color="000000" w:sz="4" w:space="0"/>
              <w:right w:val="single" w:color="000000" w:sz="4" w:space="0"/>
            </w:tcBorders>
            <w:noWrap w:val="0"/>
            <w:vAlign w:val="center"/>
          </w:tcPr>
          <w:p w14:paraId="286673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图像预处理算法服务</w:t>
            </w:r>
          </w:p>
        </w:tc>
        <w:tc>
          <w:tcPr>
            <w:tcW w:w="5309" w:type="dxa"/>
            <w:tcBorders>
              <w:top w:val="single" w:color="000000" w:sz="4" w:space="0"/>
              <w:left w:val="single" w:color="000000" w:sz="4" w:space="0"/>
              <w:bottom w:val="single" w:color="000000" w:sz="4" w:space="0"/>
              <w:right w:val="single" w:color="000000" w:sz="4" w:space="0"/>
            </w:tcBorders>
            <w:noWrap w:val="0"/>
            <w:vAlign w:val="top"/>
          </w:tcPr>
          <w:p w14:paraId="116BBA4D">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人脸人体全要素关联算法：支持创建人脸和人体关联关系；支持同帧和跨帧的人脸和人体的关联</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人脸人体质量分析算法：支持对解析的人脸和人体数据进行质量分析，支持数据偏转角度、模糊程度、光照异常程度、低像素等进行综合计算，提供质量评价结果，为后续计算提供可信度参考；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时空要素提取和关联算法：支持在人脸全要素和人体全要素提取过程中，同步提取人像要素产生时间和人像要素采集经纬度信息。</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14:paraId="460806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2FE23A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23BA886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1A518F2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080E5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24" w:type="dxa"/>
            <w:tcBorders>
              <w:top w:val="single" w:color="000000" w:sz="4" w:space="0"/>
              <w:left w:val="single" w:color="000000" w:sz="4" w:space="0"/>
              <w:bottom w:val="single" w:color="000000" w:sz="4" w:space="0"/>
              <w:right w:val="single" w:color="000000" w:sz="4" w:space="0"/>
            </w:tcBorders>
            <w:noWrap w:val="0"/>
            <w:vAlign w:val="center"/>
          </w:tcPr>
          <w:p w14:paraId="367545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52" w:type="dxa"/>
            <w:tcBorders>
              <w:top w:val="single" w:color="000000" w:sz="4" w:space="0"/>
              <w:left w:val="single" w:color="000000" w:sz="4" w:space="0"/>
              <w:bottom w:val="single" w:color="000000" w:sz="4" w:space="0"/>
              <w:right w:val="single" w:color="000000" w:sz="4" w:space="0"/>
            </w:tcBorders>
            <w:noWrap w:val="0"/>
            <w:vAlign w:val="center"/>
          </w:tcPr>
          <w:p w14:paraId="580104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多维融合规则引擎服务</w:t>
            </w:r>
          </w:p>
        </w:tc>
        <w:tc>
          <w:tcPr>
            <w:tcW w:w="5309" w:type="dxa"/>
            <w:tcBorders>
              <w:top w:val="single" w:color="000000" w:sz="4" w:space="0"/>
              <w:left w:val="single" w:color="000000" w:sz="4" w:space="0"/>
              <w:bottom w:val="single" w:color="000000" w:sz="4" w:space="0"/>
              <w:right w:val="single" w:color="000000" w:sz="4" w:space="0"/>
            </w:tcBorders>
            <w:noWrap w:val="0"/>
            <w:vAlign w:val="top"/>
          </w:tcPr>
          <w:p w14:paraId="11614147">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以视图全解析数据和时空信息为基础数据，基于时间、空间、外貌、衣着、同行等条件，结合客观规律和视频侦查逻辑，形成多维融合规则引擎，综合指导人脸图像、人体图像、非机动车人像和机动车人像进行聚类归档，增强人体比对结果数据可用性。通过人脸人体关联、人脸非机动车关联、结构化字段关联等，结合时空纠错、阈值机制等多种策略，提升档案的召回率和准确率。</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14:paraId="2620EA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120C24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3CD0E33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2880FCB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2DBA8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24" w:type="dxa"/>
            <w:tcBorders>
              <w:top w:val="single" w:color="000000" w:sz="4" w:space="0"/>
              <w:left w:val="single" w:color="000000" w:sz="4" w:space="0"/>
              <w:bottom w:val="single" w:color="000000" w:sz="4" w:space="0"/>
              <w:right w:val="single" w:color="000000" w:sz="4" w:space="0"/>
            </w:tcBorders>
            <w:noWrap w:val="0"/>
            <w:vAlign w:val="center"/>
          </w:tcPr>
          <w:p w14:paraId="52BC6C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52" w:type="dxa"/>
            <w:tcBorders>
              <w:top w:val="single" w:color="000000" w:sz="4" w:space="0"/>
              <w:left w:val="single" w:color="000000" w:sz="4" w:space="0"/>
              <w:bottom w:val="single" w:color="000000" w:sz="4" w:space="0"/>
              <w:right w:val="single" w:color="000000" w:sz="4" w:space="0"/>
            </w:tcBorders>
            <w:noWrap w:val="0"/>
            <w:vAlign w:val="center"/>
          </w:tcPr>
          <w:p w14:paraId="31806C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多要素实时聚类算法服务</w:t>
            </w:r>
          </w:p>
        </w:tc>
        <w:tc>
          <w:tcPr>
            <w:tcW w:w="5309" w:type="dxa"/>
            <w:tcBorders>
              <w:top w:val="single" w:color="000000" w:sz="4" w:space="0"/>
              <w:left w:val="single" w:color="000000" w:sz="4" w:space="0"/>
              <w:bottom w:val="single" w:color="000000" w:sz="4" w:space="0"/>
              <w:right w:val="single" w:color="000000" w:sz="4" w:space="0"/>
            </w:tcBorders>
            <w:noWrap w:val="0"/>
            <w:vAlign w:val="top"/>
          </w:tcPr>
          <w:p w14:paraId="28A64CDF">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维人脸聚类归档算法：支持基于不同质量条件的人脸图像和对应的全解析数据进行多维时空融合聚类归档；具备对低质量画面的人脸全要素数据进行聚类归档的能力；具备对不同人脸偏航角度、人脸俯仰角度、人脸滚转角度的正面人脸、侧面人脸、俯角人脸等多角度、不同距离人脸全要素数据进行聚类归档的能力；具备对被遮挡的人脸全要素数据进行聚类归档的能力；具备分钟级的实时人脸全要素聚类归档能力；</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维人体聚类归档算法：支持基于不同质量条件的人体图像和对应的全解析数据进行多维时空融合聚类归档；具备对低质量画面的人体全要素数据进行聚类归档的能力；具备对不同类型的正面人体、侧面人体、背面人体和俯角人体等多角度、不同距离人体图像进行聚类归档的能力；具备对被遮挡的人体全要素数据进行聚类归档的能力；</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人车非人像融合聚类算法：支持对人脸、人体、机动车前排驾乘人像、非机动骑乘人像进行融合聚类归档；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实时融合聚类算法：对重点关注的目标进行全要素数据综合计算，生成目标人员实时人像轨迹。</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14:paraId="6CF99E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1422D7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2CBE1D5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16742E5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18800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24" w:type="dxa"/>
            <w:tcBorders>
              <w:top w:val="single" w:color="000000" w:sz="4" w:space="0"/>
              <w:left w:val="single" w:color="000000" w:sz="4" w:space="0"/>
              <w:bottom w:val="single" w:color="000000" w:sz="4" w:space="0"/>
              <w:right w:val="single" w:color="000000" w:sz="4" w:space="0"/>
            </w:tcBorders>
            <w:noWrap w:val="0"/>
            <w:vAlign w:val="center"/>
          </w:tcPr>
          <w:p w14:paraId="7114E2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752" w:type="dxa"/>
            <w:tcBorders>
              <w:top w:val="single" w:color="000000" w:sz="4" w:space="0"/>
              <w:left w:val="single" w:color="000000" w:sz="4" w:space="0"/>
              <w:bottom w:val="single" w:color="000000" w:sz="4" w:space="0"/>
              <w:right w:val="single" w:color="000000" w:sz="4" w:space="0"/>
            </w:tcBorders>
            <w:noWrap w:val="0"/>
            <w:vAlign w:val="center"/>
          </w:tcPr>
          <w:p w14:paraId="29B0ED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多要素隔天聚类算法服务</w:t>
            </w:r>
          </w:p>
        </w:tc>
        <w:tc>
          <w:tcPr>
            <w:tcW w:w="5309" w:type="dxa"/>
            <w:tcBorders>
              <w:top w:val="single" w:color="000000" w:sz="4" w:space="0"/>
              <w:left w:val="single" w:color="000000" w:sz="4" w:space="0"/>
              <w:bottom w:val="single" w:color="000000" w:sz="4" w:space="0"/>
              <w:right w:val="single" w:color="000000" w:sz="4" w:space="0"/>
            </w:tcBorders>
            <w:noWrap w:val="0"/>
            <w:vAlign w:val="top"/>
          </w:tcPr>
          <w:p w14:paraId="578EF147">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维人脸聚类归档算法：支持基于不同质量条件的人脸图像和对应的全解析数据进行多维时空融合聚类归档；具备对低质量画面的人脸全要素数据进行聚类归档的能力；具备对不同人脸偏航角度、人脸俯仰角度、人脸滚转角度的正面人脸、侧面人脸、俯角人脸等多角度、不同距离人脸全要素数据进行聚类归档的能力；具备对被遮挡的人脸全要素数据进行聚类归档的能力；</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维人体聚类归档算法：支持基于不同质量条件的人体图像和对应的全解析数据进行多维时空融合聚类归档；具备对低质量画面的人体全要素数据进行聚类归档的能力；具备对不同类型的正面人体、侧面人体、背面人体和俯角人体等多角度、不同距离人体图像进行聚类归档的能力；具备对遮挡的人体全要素数据进行聚类归档的能力；</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人车非人像融合聚类算法：支持对人脸、人体、机动车前排驾乘人像、非机动骑乘人像进行融合聚类归档；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批量融合聚类算法：对上述人像视图数据进行全要素数据综合计算，生成目标人员人像T+1融合档案。</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14:paraId="73B8A2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32B8B7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4E67E9A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23B0E07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098BA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24" w:type="dxa"/>
            <w:tcBorders>
              <w:top w:val="single" w:color="000000" w:sz="4" w:space="0"/>
              <w:left w:val="single" w:color="000000" w:sz="4" w:space="0"/>
              <w:bottom w:val="single" w:color="000000" w:sz="4" w:space="0"/>
              <w:right w:val="single" w:color="000000" w:sz="4" w:space="0"/>
            </w:tcBorders>
            <w:noWrap w:val="0"/>
            <w:vAlign w:val="center"/>
          </w:tcPr>
          <w:p w14:paraId="6E3283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752" w:type="dxa"/>
            <w:tcBorders>
              <w:top w:val="single" w:color="000000" w:sz="4" w:space="0"/>
              <w:left w:val="single" w:color="000000" w:sz="4" w:space="0"/>
              <w:bottom w:val="single" w:color="000000" w:sz="4" w:space="0"/>
              <w:right w:val="single" w:color="000000" w:sz="4" w:space="0"/>
            </w:tcBorders>
            <w:noWrap w:val="0"/>
            <w:vAlign w:val="center"/>
          </w:tcPr>
          <w:p w14:paraId="16FF8E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人像聚档系统应用服务</w:t>
            </w:r>
          </w:p>
        </w:tc>
        <w:tc>
          <w:tcPr>
            <w:tcW w:w="5309" w:type="dxa"/>
            <w:tcBorders>
              <w:top w:val="single" w:color="000000" w:sz="4" w:space="0"/>
              <w:left w:val="single" w:color="000000" w:sz="4" w:space="0"/>
              <w:bottom w:val="single" w:color="000000" w:sz="4" w:space="0"/>
              <w:right w:val="single" w:color="000000" w:sz="4" w:space="0"/>
            </w:tcBorders>
            <w:noWrap w:val="0"/>
            <w:vAlign w:val="top"/>
          </w:tcPr>
          <w:p w14:paraId="2F03C0BE">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提供档案实名化、重点人标签、实时轨迹追踪、人体找人、人体同行、人脸找人、人脸同行、结构化属性搜档以及基础人像功能，具体功能如下：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1、档案实名化：对人像多要素聚类档案与实名人口库自动碰撞，将实名人口库照片作为档案封面照，并赋予人像档案实名身份信息、性别、出生年月等信息，实现轨迹抓拍实名化。</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2、重点人标签：对人像多要素聚类档案与重点人库自动碰撞，赋予人像档案重点人标签，实现重点人态势管控，掌控重点人实时位置、研判历史活动规律、分析异常行为，挖掘潜在风险。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3、实时轨迹追踪：实时刻画目标人员活动轨迹，目标人通过摄像机1分钟内便可记录其位置，按行进路径和时间先后顺序绘制人脸人体全量轨迹线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4、事后轨迹回溯：刻画全域、全时、全员完整轨迹，快速查看关注人员出现过的位置，还原关注人轨迹、挖掘案件线索信息、固定视频图像证据。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5、人体找人：通过一张含人体的图片检索目标人员的人像档案轨迹，可查看人员实名信息、证件照，实现挖掘轨迹线索，还原其社会活动情况、分析日常行为规律、预测异常行为风险。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6、人体同行：支持人体与人体同行发现、人体与背影同行发现、人脸与人体同行发现，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7、人脸找人：通过一张含人脸的图片检索目标人员的人像档案轨迹，可查看人员实名信息，实现挖掘轨迹线索，还原其社会活动情况、分析日常行为规律、预测异常行为风险。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8、人脸同行：支持低清低质量模糊人脸间的同行发现，可查看同行次数、时间区间和监控点位等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结构化属性搜档：通过性别、年龄区间、眼镜、帽子、口罩、上衣款式、上衣颜色、下身服饰、下身颜色等人脸、人体的结构化属性信息查找人像档案，可查看目标人员档案实名化信息、重点人标签、历史轨迹及抓拍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10、基础人像功能：档案修改、以图搜图、人证比对、人库比对、人像库交叉比对、人像库管理、摄像机管理等基础人像功能。</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14:paraId="465E9B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3D73B6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2B542C8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752E75C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26375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24" w:type="dxa"/>
            <w:tcBorders>
              <w:top w:val="single" w:color="000000" w:sz="4" w:space="0"/>
              <w:left w:val="single" w:color="000000" w:sz="4" w:space="0"/>
              <w:bottom w:val="single" w:color="000000" w:sz="4" w:space="0"/>
              <w:right w:val="single" w:color="000000" w:sz="4" w:space="0"/>
            </w:tcBorders>
            <w:noWrap w:val="0"/>
            <w:vAlign w:val="center"/>
          </w:tcPr>
          <w:p w14:paraId="06A6D4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52" w:type="dxa"/>
            <w:tcBorders>
              <w:top w:val="single" w:color="000000" w:sz="4" w:space="0"/>
              <w:left w:val="single" w:color="000000" w:sz="4" w:space="0"/>
              <w:bottom w:val="single" w:color="000000" w:sz="4" w:space="0"/>
              <w:right w:val="single" w:color="000000" w:sz="4" w:space="0"/>
            </w:tcBorders>
            <w:noWrap w:val="0"/>
            <w:vAlign w:val="center"/>
          </w:tcPr>
          <w:p w14:paraId="7EB7C8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重点人同行关系分析服务</w:t>
            </w:r>
          </w:p>
        </w:tc>
        <w:tc>
          <w:tcPr>
            <w:tcW w:w="5309" w:type="dxa"/>
            <w:tcBorders>
              <w:top w:val="single" w:color="000000" w:sz="4" w:space="0"/>
              <w:left w:val="single" w:color="000000" w:sz="4" w:space="0"/>
              <w:bottom w:val="single" w:color="000000" w:sz="4" w:space="0"/>
              <w:right w:val="single" w:color="000000" w:sz="4" w:space="0"/>
            </w:tcBorders>
            <w:noWrap w:val="0"/>
            <w:vAlign w:val="top"/>
          </w:tcPr>
          <w:p w14:paraId="29DFFB9B">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脸/人体同行：支持构建以人脸/人体特征为锚点的动态同行关系挖掘体系，通过多目标跟踪技术对不同目标的时空轨迹进行建模，分析移动路径重合度、空间距离阈值及停留点关联性，通过不同目标间的时空轨迹和视觉数据交叉碰撞计算，以全场景人脸数据为核心，挖掘同行关系；</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14:paraId="270107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3D9740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384B0AE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4CF82B1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4E4AB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24" w:type="dxa"/>
            <w:tcBorders>
              <w:top w:val="single" w:color="000000" w:sz="4" w:space="0"/>
              <w:left w:val="single" w:color="000000" w:sz="4" w:space="0"/>
              <w:bottom w:val="single" w:color="000000" w:sz="4" w:space="0"/>
              <w:right w:val="single" w:color="000000" w:sz="4" w:space="0"/>
            </w:tcBorders>
            <w:noWrap w:val="0"/>
            <w:vAlign w:val="center"/>
          </w:tcPr>
          <w:p w14:paraId="15E33B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752" w:type="dxa"/>
            <w:tcBorders>
              <w:top w:val="single" w:color="000000" w:sz="4" w:space="0"/>
              <w:left w:val="single" w:color="000000" w:sz="4" w:space="0"/>
              <w:bottom w:val="single" w:color="000000" w:sz="4" w:space="0"/>
              <w:right w:val="single" w:color="000000" w:sz="4" w:space="0"/>
            </w:tcBorders>
            <w:noWrap w:val="0"/>
            <w:vAlign w:val="center"/>
          </w:tcPr>
          <w:p w14:paraId="765D58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布控报警服务</w:t>
            </w:r>
          </w:p>
        </w:tc>
        <w:tc>
          <w:tcPr>
            <w:tcW w:w="5309" w:type="dxa"/>
            <w:tcBorders>
              <w:top w:val="single" w:color="000000" w:sz="4" w:space="0"/>
              <w:left w:val="single" w:color="000000" w:sz="4" w:space="0"/>
              <w:bottom w:val="single" w:color="000000" w:sz="4" w:space="0"/>
              <w:right w:val="single" w:color="000000" w:sz="4" w:space="0"/>
            </w:tcBorders>
            <w:noWrap w:val="0"/>
            <w:vAlign w:val="top"/>
          </w:tcPr>
          <w:p w14:paraId="67248C08">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支持面向重点人员防控的告警，整合布控管理、人脸预警与人体预警三大功能模块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布控管理模块支持为用户提供灵活高效的布控任务配置与管理能力，支持针对特定目标创建布控任务，自定义布控名称、布控方式、处置类型、布控时效、布控区域与比对相似度阈值，并支持通过任务开关与订阅报警开关灵活管控布控状态，实现多维度精准布防与主动安全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2、人脸预警模块支持实时归集并展示由人脸布控任务触发的全量告警记录。每条预警记录详细呈现入库照、抓拍照、场景照片、比对相似度、预警时间、抓拍地点及布控任务归属等关键信息，</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14:paraId="2D9178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29D725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449937E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4D7237E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13E46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24" w:type="dxa"/>
            <w:tcBorders>
              <w:top w:val="single" w:color="000000" w:sz="4" w:space="0"/>
              <w:left w:val="single" w:color="000000" w:sz="4" w:space="0"/>
              <w:bottom w:val="single" w:color="000000" w:sz="4" w:space="0"/>
              <w:right w:val="single" w:color="000000" w:sz="4" w:space="0"/>
            </w:tcBorders>
            <w:noWrap w:val="0"/>
            <w:vAlign w:val="center"/>
          </w:tcPr>
          <w:p w14:paraId="20D16B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52" w:type="dxa"/>
            <w:tcBorders>
              <w:top w:val="single" w:color="000000" w:sz="4" w:space="0"/>
              <w:left w:val="single" w:color="000000" w:sz="4" w:space="0"/>
              <w:bottom w:val="single" w:color="000000" w:sz="4" w:space="0"/>
              <w:right w:val="single" w:color="000000" w:sz="4" w:space="0"/>
            </w:tcBorders>
            <w:noWrap w:val="0"/>
            <w:vAlign w:val="center"/>
          </w:tcPr>
          <w:p w14:paraId="6B00C1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智能算法调度服务</w:t>
            </w:r>
          </w:p>
        </w:tc>
        <w:tc>
          <w:tcPr>
            <w:tcW w:w="5309" w:type="dxa"/>
            <w:tcBorders>
              <w:top w:val="single" w:color="000000" w:sz="4" w:space="0"/>
              <w:left w:val="single" w:color="000000" w:sz="4" w:space="0"/>
              <w:bottom w:val="single" w:color="000000" w:sz="4" w:space="0"/>
              <w:right w:val="single" w:color="000000" w:sz="4" w:space="0"/>
            </w:tcBorders>
            <w:noWrap w:val="0"/>
            <w:vAlign w:val="top"/>
          </w:tcPr>
          <w:p w14:paraId="2CE03BCC">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智能化动态算法调度能力，可精准对接前端接入视频流数据，通过内置检测模块快速识别质量特征及对应业务场景需求，自动匹配适配的预处理算法模块，结合实时数据质量检测反馈结果，智能筛选最优预处理策略。</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14:paraId="69F94D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10F319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0A5364F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5253431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6FDD9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24" w:type="dxa"/>
            <w:tcBorders>
              <w:top w:val="single" w:color="000000" w:sz="4" w:space="0"/>
              <w:left w:val="single" w:color="000000" w:sz="4" w:space="0"/>
              <w:bottom w:val="single" w:color="000000" w:sz="4" w:space="0"/>
              <w:right w:val="single" w:color="000000" w:sz="4" w:space="0"/>
            </w:tcBorders>
            <w:noWrap w:val="0"/>
            <w:vAlign w:val="center"/>
          </w:tcPr>
          <w:p w14:paraId="58D1B3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752" w:type="dxa"/>
            <w:tcBorders>
              <w:top w:val="single" w:color="000000" w:sz="4" w:space="0"/>
              <w:left w:val="single" w:color="000000" w:sz="4" w:space="0"/>
              <w:bottom w:val="single" w:color="000000" w:sz="4" w:space="0"/>
              <w:right w:val="single" w:color="000000" w:sz="4" w:space="0"/>
            </w:tcBorders>
            <w:noWrap w:val="0"/>
            <w:vAlign w:val="center"/>
          </w:tcPr>
          <w:p w14:paraId="7AA2E7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大模型服务部署对接服务</w:t>
            </w:r>
          </w:p>
        </w:tc>
        <w:tc>
          <w:tcPr>
            <w:tcW w:w="5309" w:type="dxa"/>
            <w:tcBorders>
              <w:top w:val="single" w:color="000000" w:sz="4" w:space="0"/>
              <w:left w:val="single" w:color="000000" w:sz="4" w:space="0"/>
              <w:bottom w:val="single" w:color="000000" w:sz="4" w:space="0"/>
              <w:right w:val="single" w:color="000000" w:sz="4" w:space="0"/>
            </w:tcBorders>
            <w:noWrap w:val="0"/>
            <w:vAlign w:val="top"/>
          </w:tcPr>
          <w:p w14:paraId="7E0D83A3">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针对平台智能体部署、大模型算法能力部署、大模型调优、视图数据扩容对接适配，包含模型升级、模型蒸馏等。1、支持第三方视图库厂商基于1400 协议的对接，支持视图库注册、保活、订阅、推送，支持对接多个视图库；支持作为上级平台，订阅下级平台的 1400 人脸、人体数据；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2、目标订阅：支持通过订阅，结合算法的带置信度人脸识别，提取场景图中的目标人脸特征；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3、背影目标订阅：支持通过订阅，结合算法的识别能力，提取场景图中的无人脸的背影目标的人体特征；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4、人脸、人体目标订阅：支持通过订阅，结合算法的识别能力，提取场景图中的所有人脸、人体目标的特征；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5、人脸、人体目标订阅及关联：支持通过订阅，结合算法的识别能力，提取抓拍图中的人脸、人体目标的特征，并进行关联；</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6、服务探测：支持通过定时任务实现对服务的可用性探测；及时发现依赖服务的健康状态，保障服务稳定性和可用性，支持扩展识别性能；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7、支持第三方视图库厂商基于1400 协议的对接，支持视图库注册、保活、订阅、推送，支持对接多个视图库；支持作为下级平台，向上级平台注册、保活、推送 1400协议人脸、人体数据以及人体人脸关联关系；</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14:paraId="6BF1BE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4E2C74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5D13A08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178AAFC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4EE16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24" w:type="dxa"/>
            <w:tcBorders>
              <w:top w:val="single" w:color="000000" w:sz="4" w:space="0"/>
              <w:left w:val="single" w:color="000000" w:sz="4" w:space="0"/>
              <w:bottom w:val="single" w:color="000000" w:sz="4" w:space="0"/>
              <w:right w:val="single" w:color="000000" w:sz="4" w:space="0"/>
            </w:tcBorders>
            <w:noWrap w:val="0"/>
            <w:vAlign w:val="center"/>
          </w:tcPr>
          <w:p w14:paraId="5FE282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752" w:type="dxa"/>
            <w:tcBorders>
              <w:top w:val="single" w:color="000000" w:sz="4" w:space="0"/>
              <w:left w:val="single" w:color="000000" w:sz="4" w:space="0"/>
              <w:bottom w:val="single" w:color="000000" w:sz="4" w:space="0"/>
              <w:right w:val="single" w:color="000000" w:sz="4" w:space="0"/>
            </w:tcBorders>
            <w:noWrap w:val="0"/>
            <w:vAlign w:val="center"/>
          </w:tcPr>
          <w:p w14:paraId="49D9EC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视图全解析预处理GPU服务器处理能力提升服务</w:t>
            </w:r>
          </w:p>
        </w:tc>
        <w:tc>
          <w:tcPr>
            <w:tcW w:w="5309" w:type="dxa"/>
            <w:tcBorders>
              <w:top w:val="single" w:color="000000" w:sz="4" w:space="0"/>
              <w:left w:val="single" w:color="000000" w:sz="4" w:space="0"/>
              <w:bottom w:val="single" w:color="000000" w:sz="4" w:space="0"/>
              <w:right w:val="single" w:color="000000" w:sz="4" w:space="0"/>
            </w:tcBorders>
            <w:noWrap w:val="0"/>
            <w:vAlign w:val="center"/>
          </w:tcPr>
          <w:p w14:paraId="17FB5E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CPU：国产ARM架构CPU，配置不低于2颗，单颗32核心，主频不低于2.5GHz</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内存：配置≥256G DDR4 2666MHz</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解析卡：配置≥4张 Atlas 300V-Pro或相同性能的解析卡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系统盘：配置2张 480GB SSD</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数据盘：配置3张 1.92TB SSD</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RAID卡：至少支持RAID 0/1/5/10/50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网络接口：配置两个万兆光接口含850nm多模光模块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电源：配置2个2000W冗余电源</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14:paraId="15F8E0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4AE68A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1ABCF27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78A907B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6A20A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24" w:type="dxa"/>
            <w:tcBorders>
              <w:top w:val="single" w:color="000000" w:sz="4" w:space="0"/>
              <w:left w:val="single" w:color="000000" w:sz="4" w:space="0"/>
              <w:bottom w:val="single" w:color="000000" w:sz="4" w:space="0"/>
              <w:right w:val="single" w:color="000000" w:sz="4" w:space="0"/>
            </w:tcBorders>
            <w:noWrap w:val="0"/>
            <w:vAlign w:val="center"/>
          </w:tcPr>
          <w:p w14:paraId="1B93F2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752" w:type="dxa"/>
            <w:tcBorders>
              <w:top w:val="single" w:color="000000" w:sz="4" w:space="0"/>
              <w:left w:val="single" w:color="000000" w:sz="4" w:space="0"/>
              <w:bottom w:val="single" w:color="000000" w:sz="4" w:space="0"/>
              <w:right w:val="single" w:color="000000" w:sz="4" w:space="0"/>
            </w:tcBorders>
            <w:noWrap w:val="0"/>
            <w:vAlign w:val="center"/>
          </w:tcPr>
          <w:p w14:paraId="46C964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聚档计算GPU服务器处理能力提升服务</w:t>
            </w:r>
          </w:p>
        </w:tc>
        <w:tc>
          <w:tcPr>
            <w:tcW w:w="5309" w:type="dxa"/>
            <w:tcBorders>
              <w:top w:val="single" w:color="000000" w:sz="4" w:space="0"/>
              <w:left w:val="single" w:color="000000" w:sz="4" w:space="0"/>
              <w:bottom w:val="single" w:color="000000" w:sz="4" w:space="0"/>
              <w:right w:val="single" w:color="000000" w:sz="4" w:space="0"/>
            </w:tcBorders>
            <w:noWrap w:val="0"/>
            <w:vAlign w:val="center"/>
          </w:tcPr>
          <w:p w14:paraId="642E43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CPU：国产C86架构CPU，配置不低于2颗，单颗24核心，主频≥2. 2GHz</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内存：配置≥256G DDR 2666MHz</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系统盘：配置2张 480GB SSD</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数据盘：配置3张 1.92TB SSD</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RAID卡：≥RAID 0/1/5/10/50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网络接口：配置两个万兆光接口含850nm多模光模块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电源：配置2个800W冗余电源</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14:paraId="213F54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46C995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6D643D1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222B1EB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17A77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24" w:type="dxa"/>
            <w:tcBorders>
              <w:top w:val="single" w:color="000000" w:sz="4" w:space="0"/>
              <w:left w:val="single" w:color="000000" w:sz="4" w:space="0"/>
              <w:bottom w:val="single" w:color="000000" w:sz="4" w:space="0"/>
              <w:right w:val="single" w:color="000000" w:sz="4" w:space="0"/>
            </w:tcBorders>
            <w:noWrap w:val="0"/>
            <w:vAlign w:val="center"/>
          </w:tcPr>
          <w:p w14:paraId="56C2D9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752" w:type="dxa"/>
            <w:tcBorders>
              <w:top w:val="single" w:color="000000" w:sz="4" w:space="0"/>
              <w:left w:val="single" w:color="000000" w:sz="4" w:space="0"/>
              <w:bottom w:val="single" w:color="000000" w:sz="4" w:space="0"/>
              <w:right w:val="single" w:color="000000" w:sz="4" w:space="0"/>
            </w:tcBorders>
            <w:noWrap w:val="0"/>
            <w:vAlign w:val="center"/>
          </w:tcPr>
          <w:p w14:paraId="0AAA26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数据对接网关服务</w:t>
            </w:r>
          </w:p>
        </w:tc>
        <w:tc>
          <w:tcPr>
            <w:tcW w:w="5309" w:type="dxa"/>
            <w:tcBorders>
              <w:top w:val="single" w:color="000000" w:sz="4" w:space="0"/>
              <w:left w:val="single" w:color="000000" w:sz="4" w:space="0"/>
              <w:bottom w:val="single" w:color="000000" w:sz="4" w:space="0"/>
              <w:right w:val="single" w:color="000000" w:sz="4" w:space="0"/>
            </w:tcBorders>
            <w:noWrap w:val="0"/>
            <w:vAlign w:val="top"/>
          </w:tcPr>
          <w:p w14:paraId="34A923EE">
            <w:pPr>
              <w:keepNext w:val="0"/>
              <w:keepLines w:val="0"/>
              <w:widowControl/>
              <w:suppressLineNumbers w:val="0"/>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1、支持感知类数据（如卡口过车、人脸分析、RFID、人脸告警等）同网接入汇聚或共享分发</w:t>
            </w:r>
          </w:p>
          <w:p w14:paraId="63028FA8">
            <w:pPr>
              <w:keepNext w:val="0"/>
              <w:keepLines w:val="0"/>
              <w:widowControl/>
              <w:suppressLineNumbers w:val="0"/>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2、支持感知类数据（如卡口过车、人脸分析、RFID、人脸告警等）HTTP方式跨网或FTP跨网</w:t>
            </w:r>
          </w:p>
          <w:p w14:paraId="518E48C6">
            <w:pPr>
              <w:keepNext w:val="0"/>
              <w:keepLines w:val="0"/>
              <w:widowControl/>
              <w:suppressLineNumbers w:val="0"/>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3、以任务方式进行数据处理过程管理，包括任务的创建、修改、删除及运行状态的可查看等能力</w:t>
            </w:r>
          </w:p>
          <w:p w14:paraId="01009AF4">
            <w:pPr>
              <w:keepNext w:val="0"/>
              <w:keepLines w:val="0"/>
              <w:widowControl/>
              <w:suppressLineNumbers w:val="0"/>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4、支持多种任务运行方式切换，任务运行频率可动态调整</w:t>
            </w:r>
          </w:p>
          <w:p w14:paraId="40DC3A25">
            <w:pPr>
              <w:keepNext w:val="0"/>
              <w:keepLines w:val="0"/>
              <w:widowControl/>
              <w:suppressLineNumbers w:val="0"/>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5、任务处理数据速率可调配，实现限流</w:t>
            </w:r>
          </w:p>
          <w:p w14:paraId="3E5E9E6B">
            <w:pPr>
              <w:keepNext w:val="0"/>
              <w:keepLines w:val="0"/>
              <w:widowControl/>
              <w:suppressLineNumbers w:val="0"/>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6、支持配置化方式实现对接入汇聚和共享推送数据范围的管理</w:t>
            </w:r>
          </w:p>
          <w:p w14:paraId="75A9B858">
            <w:pPr>
              <w:keepNext w:val="0"/>
              <w:keepLines w:val="0"/>
              <w:widowControl/>
              <w:suppressLineNumbers w:val="0"/>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7、支持差异化协议适配及默认值补充</w:t>
            </w:r>
          </w:p>
          <w:p w14:paraId="3FBACC98">
            <w:pPr>
              <w:keepNext w:val="0"/>
              <w:keepLines w:val="0"/>
              <w:widowControl/>
              <w:suppressLineNumbers w:val="0"/>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8、支持任务处理过程各数据状态的记录及统计</w:t>
            </w:r>
          </w:p>
          <w:p w14:paraId="3EB5DBD6">
            <w:pPr>
              <w:keepNext w:val="0"/>
              <w:keepLines w:val="0"/>
              <w:widowControl/>
              <w:suppressLineNumbers w:val="0"/>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9、支持协议双方字段值的不停服模式下配置化方式实现匹配转换</w:t>
            </w:r>
          </w:p>
          <w:p w14:paraId="1E82E640">
            <w:pPr>
              <w:keepNext w:val="0"/>
              <w:keepLines w:val="0"/>
              <w:widowControl/>
              <w:suppressLineNumbers w:val="0"/>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10、支持通过特性化参数值控制任务执行过程的多样化处理能力</w:t>
            </w:r>
          </w:p>
          <w:p w14:paraId="2804DAAD">
            <w:pPr>
              <w:keepNext w:val="0"/>
              <w:keepLines w:val="0"/>
              <w:widowControl/>
              <w:suppressLineNumbers w:val="0"/>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11、支持视图结构化数据和图片Base64流接入与传输</w:t>
            </w:r>
          </w:p>
          <w:p w14:paraId="4998E08D">
            <w:pPr>
              <w:keepNext w:val="0"/>
              <w:keepLines w:val="0"/>
              <w:widowControl/>
              <w:suppressLineNumbers w:val="0"/>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12、支持调用PaaS域存储服务存储图片，并重新组合视图结构化数据推送平台消息服务平台</w:t>
            </w:r>
          </w:p>
          <w:p w14:paraId="6C911188">
            <w:pPr>
              <w:keepNext w:val="0"/>
              <w:keepLines w:val="0"/>
              <w:widowControl/>
              <w:suppressLineNumbers w:val="0"/>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13、支持对图片相对路径二次拼接固定图片网关代理地址功能，并重新组合视图结构化数据推送平台消息服务平台</w:t>
            </w:r>
          </w:p>
          <w:p w14:paraId="2F58BA17">
            <w:pPr>
              <w:keepNext w:val="0"/>
              <w:keepLines w:val="0"/>
              <w:widowControl/>
              <w:suppressLineNumbers w:val="0"/>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14、支持统一运维的部署、安装和升级</w:t>
            </w:r>
          </w:p>
          <w:p w14:paraId="65E6C103">
            <w:pPr>
              <w:keepNext w:val="0"/>
              <w:keepLines w:val="0"/>
              <w:widowControl/>
              <w:suppressLineNumbers w:val="0"/>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15、支持横向不停服扩容，各节点互为备份</w:t>
            </w:r>
          </w:p>
          <w:p w14:paraId="3834CB4C">
            <w:pPr>
              <w:keepNext w:val="0"/>
              <w:keepLines w:val="0"/>
              <w:widowControl/>
              <w:suppressLineNumbers w:val="0"/>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16、支持复制任务方式同服务器不停服扩容，各任运行依据数据源头特性，自动平衡</w:t>
            </w:r>
          </w:p>
          <w:p w14:paraId="279734A9">
            <w:pPr>
              <w:keepNext w:val="0"/>
              <w:keepLines w:val="0"/>
              <w:widowControl/>
              <w:suppressLineNumbers w:val="0"/>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17、任务运行过程可根据上级平台能力，实现数据处理推送动态平衡</w:t>
            </w:r>
          </w:p>
          <w:p w14:paraId="4441D9AD">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18、支持跨双网及跨三网能力</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14:paraId="2BD778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5D2316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4239FAE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42C0942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370FC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173" w:type="dxa"/>
            <w:gridSpan w:val="5"/>
            <w:tcBorders>
              <w:top w:val="single" w:color="000000" w:sz="4" w:space="0"/>
              <w:left w:val="single" w:color="000000" w:sz="4" w:space="0"/>
              <w:bottom w:val="single" w:color="000000" w:sz="4" w:space="0"/>
              <w:right w:val="single" w:color="000000" w:sz="4" w:space="0"/>
            </w:tcBorders>
            <w:shd w:val="clear" w:color="auto" w:fill="BEBEBE"/>
            <w:noWrap w:val="0"/>
            <w:vAlign w:val="center"/>
          </w:tcPr>
          <w:p w14:paraId="7620C57C">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非授权外联管理系统</w:t>
            </w:r>
          </w:p>
        </w:tc>
        <w:tc>
          <w:tcPr>
            <w:tcW w:w="625"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14:paraId="566BD69E">
            <w:pPr>
              <w:keepNext w:val="0"/>
              <w:keepLines w:val="0"/>
              <w:widowControl/>
              <w:suppressLineNumbers w:val="0"/>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625"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14:paraId="379E3F7E">
            <w:pPr>
              <w:keepNext w:val="0"/>
              <w:keepLines w:val="0"/>
              <w:widowControl/>
              <w:suppressLineNumbers w:val="0"/>
              <w:jc w:val="left"/>
              <w:textAlignment w:val="center"/>
              <w:rPr>
                <w:rFonts w:hint="eastAsia" w:ascii="宋体" w:hAnsi="宋体" w:eastAsia="宋体" w:cs="宋体"/>
                <w:b/>
                <w:bCs/>
                <w:i w:val="0"/>
                <w:iCs w:val="0"/>
                <w:color w:val="000000"/>
                <w:kern w:val="0"/>
                <w:sz w:val="18"/>
                <w:szCs w:val="18"/>
                <w:u w:val="none"/>
                <w:lang w:val="en-US" w:eastAsia="zh-CN" w:bidi="ar"/>
              </w:rPr>
            </w:pPr>
          </w:p>
        </w:tc>
      </w:tr>
      <w:tr w14:paraId="6C4A8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24" w:type="dxa"/>
            <w:tcBorders>
              <w:top w:val="single" w:color="000000" w:sz="4" w:space="0"/>
              <w:left w:val="single" w:color="000000" w:sz="4" w:space="0"/>
              <w:bottom w:val="single" w:color="000000" w:sz="4" w:space="0"/>
              <w:right w:val="single" w:color="000000" w:sz="4" w:space="0"/>
            </w:tcBorders>
            <w:noWrap w:val="0"/>
            <w:vAlign w:val="center"/>
          </w:tcPr>
          <w:p w14:paraId="0D1BAB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noWrap w:val="0"/>
            <w:vAlign w:val="center"/>
          </w:tcPr>
          <w:p w14:paraId="710133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非授权外联管理系统服务</w:t>
            </w:r>
          </w:p>
        </w:tc>
        <w:tc>
          <w:tcPr>
            <w:tcW w:w="5309" w:type="dxa"/>
            <w:tcBorders>
              <w:top w:val="single" w:color="000000" w:sz="4" w:space="0"/>
              <w:left w:val="single" w:color="000000" w:sz="4" w:space="0"/>
              <w:bottom w:val="single" w:color="000000" w:sz="4" w:space="0"/>
              <w:right w:val="single" w:color="000000" w:sz="4" w:space="0"/>
            </w:tcBorders>
            <w:noWrap w:val="0"/>
            <w:vAlign w:val="top"/>
          </w:tcPr>
          <w:p w14:paraId="35B8D134">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提供专网内终端电脑的入网管控，异常接入告警，以及网络设备的违规外联、串网阻断。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1、系统能发现并阻断由插错网线、熔错光纤、插入可与互联网通信的设备导致的违规外联事件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2、系统支持对网管交换机的控制，能自动分析交换机端口使用状态，区分已使用和未使用的端口，支持单个和一键关闭未使用端口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3、系统支持逻辑隔离和物理隔离，通过对交换机MAC地址表采集，针对每个网口建立MAC地址基线，网口接入基线外MAC地址时，立刻阻断对应设备通信，可进一步关闭物理网口通信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4、系统支持非授权设备接入预警阻断功能，告警信息支持一键处置放通，用户未处置放通前非授权设备无法入网，并可对告警信息进行查询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5、系统支持交换机ARP表项采集功能，可实现采集交换机上学习到的IP地址和MAC地址的对应关系记录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6、系统支持网段管理功能，支持网内网段探查，支持探查任务启停、执行进度查看，支持网段IP占用情况分析展示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7、系统支持用户管理、用户权限管理，网段管理功能，系统操作日志管理功能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8、系统支持交换机CPU、内存使用情况、版本情况监测</w:t>
            </w:r>
            <w:r>
              <w:rPr>
                <w:rFonts w:hint="eastAsia" w:ascii="宋体" w:hAnsi="宋体" w:eastAsia="宋体" w:cs="宋体"/>
                <w:i w:val="0"/>
                <w:iCs w:val="0"/>
                <w:color w:val="000000"/>
                <w:kern w:val="0"/>
                <w:sz w:val="18"/>
                <w:szCs w:val="18"/>
                <w:u w:val="none"/>
                <w:lang w:val="en-US" w:eastAsia="zh-CN" w:bidi="ar"/>
              </w:rPr>
              <w:br w:type="textWrapping"/>
            </w:r>
            <w:r>
              <w:rPr>
                <w:rStyle w:val="4"/>
                <w:sz w:val="18"/>
                <w:szCs w:val="18"/>
                <w:lang w:val="en-US" w:eastAsia="zh-CN" w:bidi="ar"/>
              </w:rPr>
              <w:t>含20个可网管交换机节点及2年授权和原厂服务</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14:paraId="718F45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779F91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0347038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67F3BAB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054B2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24" w:type="dxa"/>
            <w:tcBorders>
              <w:top w:val="single" w:color="000000" w:sz="4" w:space="0"/>
              <w:left w:val="single" w:color="000000" w:sz="4" w:space="0"/>
              <w:bottom w:val="single" w:color="000000" w:sz="4" w:space="0"/>
              <w:right w:val="single" w:color="000000" w:sz="4" w:space="0"/>
            </w:tcBorders>
            <w:noWrap w:val="0"/>
            <w:vAlign w:val="center"/>
          </w:tcPr>
          <w:p w14:paraId="245EA8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noWrap w:val="0"/>
            <w:vAlign w:val="center"/>
          </w:tcPr>
          <w:p w14:paraId="7BDB83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智能安全接入网关</w:t>
            </w:r>
          </w:p>
        </w:tc>
        <w:tc>
          <w:tcPr>
            <w:tcW w:w="5309" w:type="dxa"/>
            <w:tcBorders>
              <w:top w:val="single" w:color="000000" w:sz="4" w:space="0"/>
              <w:left w:val="single" w:color="000000" w:sz="4" w:space="0"/>
              <w:bottom w:val="single" w:color="000000" w:sz="4" w:space="0"/>
              <w:right w:val="single" w:color="000000" w:sz="4" w:space="0"/>
            </w:tcBorders>
            <w:noWrap w:val="0"/>
            <w:vAlign w:val="top"/>
          </w:tcPr>
          <w:p w14:paraId="594C3EFA">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智能安全接入网关≥ 5个10/100M自适应口，支持全/半双工模式，支持配置本机管理IP和管理平台地址，并支持自动注册；支持IP/MAC自学习与上报；支持远程控制端口的数据转发，支持三元组绑定关系配置以及TCP/UDP协议通信端口管控。每台网关可配置策略数不少于32条。</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14:paraId="7C81F2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10058A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130A343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4B583F1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2F014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24" w:type="dxa"/>
            <w:tcBorders>
              <w:top w:val="single" w:color="000000" w:sz="4" w:space="0"/>
              <w:left w:val="single" w:color="000000" w:sz="4" w:space="0"/>
              <w:bottom w:val="single" w:color="000000" w:sz="4" w:space="0"/>
              <w:right w:val="single" w:color="000000" w:sz="4" w:space="0"/>
            </w:tcBorders>
            <w:noWrap w:val="0"/>
            <w:vAlign w:val="center"/>
          </w:tcPr>
          <w:p w14:paraId="2085CC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52" w:type="dxa"/>
            <w:tcBorders>
              <w:top w:val="single" w:color="000000" w:sz="4" w:space="0"/>
              <w:left w:val="single" w:color="000000" w:sz="4" w:space="0"/>
              <w:bottom w:val="single" w:color="000000" w:sz="4" w:space="0"/>
              <w:right w:val="single" w:color="000000" w:sz="4" w:space="0"/>
            </w:tcBorders>
            <w:noWrap w:val="0"/>
            <w:vAlign w:val="center"/>
          </w:tcPr>
          <w:p w14:paraId="1E8094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异形网络适配器</w:t>
            </w:r>
          </w:p>
        </w:tc>
        <w:tc>
          <w:tcPr>
            <w:tcW w:w="5309" w:type="dxa"/>
            <w:tcBorders>
              <w:top w:val="single" w:color="000000" w:sz="4" w:space="0"/>
              <w:left w:val="single" w:color="000000" w:sz="4" w:space="0"/>
              <w:bottom w:val="single" w:color="000000" w:sz="4" w:space="0"/>
              <w:right w:val="single" w:color="000000" w:sz="4" w:space="0"/>
            </w:tcBorders>
            <w:noWrap w:val="0"/>
            <w:vAlign w:val="top"/>
          </w:tcPr>
          <w:p w14:paraId="26EA0D21">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异形接口网络适配器，接口速率100/1000Mbps自适应，全双工模式，提供PCIE主机接口，支持原主机操作系统。</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14:paraId="62582E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350</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57C4B2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0A63659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6F29DA3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0FF29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173" w:type="dxa"/>
            <w:gridSpan w:val="5"/>
            <w:tcBorders>
              <w:top w:val="single" w:color="000000" w:sz="4" w:space="0"/>
              <w:left w:val="single" w:color="000000" w:sz="4" w:space="0"/>
              <w:bottom w:val="single" w:color="000000" w:sz="4" w:space="0"/>
              <w:right w:val="single" w:color="000000" w:sz="4" w:space="0"/>
            </w:tcBorders>
            <w:shd w:val="clear" w:color="auto" w:fill="BEBEBE"/>
            <w:noWrap w:val="0"/>
            <w:vAlign w:val="center"/>
          </w:tcPr>
          <w:p w14:paraId="6ECDF213">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系统集成</w:t>
            </w:r>
          </w:p>
        </w:tc>
        <w:tc>
          <w:tcPr>
            <w:tcW w:w="625"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14:paraId="2039D451">
            <w:pPr>
              <w:keepNext w:val="0"/>
              <w:keepLines w:val="0"/>
              <w:widowControl/>
              <w:suppressLineNumbers w:val="0"/>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625"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14:paraId="1A751009">
            <w:pPr>
              <w:keepNext w:val="0"/>
              <w:keepLines w:val="0"/>
              <w:widowControl/>
              <w:suppressLineNumbers w:val="0"/>
              <w:jc w:val="left"/>
              <w:textAlignment w:val="center"/>
              <w:rPr>
                <w:rFonts w:hint="eastAsia" w:ascii="宋体" w:hAnsi="宋体" w:eastAsia="宋体" w:cs="宋体"/>
                <w:b/>
                <w:bCs/>
                <w:i w:val="0"/>
                <w:iCs w:val="0"/>
                <w:color w:val="000000"/>
                <w:kern w:val="0"/>
                <w:sz w:val="18"/>
                <w:szCs w:val="18"/>
                <w:u w:val="none"/>
                <w:lang w:val="en-US" w:eastAsia="zh-CN" w:bidi="ar"/>
              </w:rPr>
            </w:pPr>
          </w:p>
        </w:tc>
      </w:tr>
      <w:tr w14:paraId="593F0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24" w:type="dxa"/>
            <w:tcBorders>
              <w:top w:val="single" w:color="000000" w:sz="4" w:space="0"/>
              <w:left w:val="single" w:color="000000" w:sz="4" w:space="0"/>
              <w:bottom w:val="single" w:color="000000" w:sz="4" w:space="0"/>
              <w:right w:val="single" w:color="000000" w:sz="4" w:space="0"/>
            </w:tcBorders>
            <w:noWrap w:val="0"/>
            <w:vAlign w:val="center"/>
          </w:tcPr>
          <w:p w14:paraId="5D5869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noWrap w:val="0"/>
            <w:vAlign w:val="center"/>
          </w:tcPr>
          <w:p w14:paraId="67C96D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系统集成</w:t>
            </w:r>
          </w:p>
        </w:tc>
        <w:tc>
          <w:tcPr>
            <w:tcW w:w="5309" w:type="dxa"/>
            <w:tcBorders>
              <w:top w:val="single" w:color="000000" w:sz="4" w:space="0"/>
              <w:left w:val="single" w:color="000000" w:sz="4" w:space="0"/>
              <w:bottom w:val="single" w:color="000000" w:sz="4" w:space="0"/>
              <w:right w:val="single" w:color="000000" w:sz="4" w:space="0"/>
            </w:tcBorders>
            <w:noWrap/>
            <w:vAlign w:val="bottom"/>
          </w:tcPr>
          <w:p w14:paraId="528179D3">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系统数据配置及系统联调联测等</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14:paraId="22F5CE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67CC0C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0A41FB1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363C338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654D6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8173" w:type="dxa"/>
            <w:gridSpan w:val="5"/>
            <w:tcBorders>
              <w:top w:val="single" w:color="000000" w:sz="4" w:space="0"/>
              <w:left w:val="single" w:color="000000" w:sz="4" w:space="0"/>
              <w:bottom w:val="single" w:color="000000" w:sz="4" w:space="0"/>
              <w:right w:val="single" w:color="000000" w:sz="4" w:space="0"/>
            </w:tcBorders>
            <w:noWrap w:val="0"/>
            <w:vAlign w:val="center"/>
          </w:tcPr>
          <w:p w14:paraId="2B75AA3B">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总价</w:t>
            </w:r>
          </w:p>
        </w:tc>
        <w:tc>
          <w:tcPr>
            <w:tcW w:w="1250" w:type="dxa"/>
            <w:gridSpan w:val="2"/>
            <w:tcBorders>
              <w:top w:val="single" w:color="000000" w:sz="4" w:space="0"/>
              <w:left w:val="single" w:color="000000" w:sz="4" w:space="0"/>
              <w:bottom w:val="single" w:color="000000" w:sz="4" w:space="0"/>
              <w:right w:val="single" w:color="000000" w:sz="4" w:space="0"/>
            </w:tcBorders>
            <w:noWrap w:val="0"/>
            <w:vAlign w:val="center"/>
          </w:tcPr>
          <w:p w14:paraId="64DDFE7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bl>
    <w:p w14:paraId="138CF957">
      <w:pPr>
        <w:rPr>
          <w:rFonts w:hint="eastAsia" w:eastAsia="宋体"/>
          <w:b/>
          <w:bCs/>
          <w:sz w:val="22"/>
          <w:szCs w:val="28"/>
          <w:lang w:val="en-US" w:eastAsia="zh-CN"/>
        </w:rPr>
      </w:pPr>
      <w:r>
        <w:rPr>
          <w:rFonts w:hint="eastAsia"/>
          <w:b/>
          <w:bCs/>
          <w:sz w:val="22"/>
          <w:szCs w:val="28"/>
          <w:lang w:val="en-US" w:eastAsia="zh-CN"/>
        </w:rPr>
        <w:t>注：报价包括本次项目所需的人工费、服务费、管理费、税金等所有费用。</w:t>
      </w:r>
    </w:p>
    <w:sectPr>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2177CD7"/>
    <w:rsid w:val="55D77305"/>
    <w:rsid w:val="6BF34968"/>
    <w:rsid w:val="795968D1"/>
    <w:rsid w:val="7A253EC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Style w:val="2"/>
      <w:tblCellMar>
        <w:top w:w="0" w:type="dxa"/>
        <w:left w:w="108" w:type="dxa"/>
        <w:bottom w:w="0" w:type="dxa"/>
        <w:right w:w="108" w:type="dxa"/>
      </w:tblCellMar>
    </w:tblPr>
  </w:style>
  <w:style w:type="character" w:customStyle="1" w:styleId="4">
    <w:name w:val="font101"/>
    <w:basedOn w:val="3"/>
    <w:uiPriority w:val="0"/>
    <w:rPr>
      <w:rFonts w:hint="eastAsia" w:ascii="宋体" w:hAnsi="宋体" w:eastAsia="宋体" w:cs="宋体"/>
      <w:b/>
      <w:bCs/>
      <w:color w:val="000000"/>
      <w:sz w:val="16"/>
      <w:szCs w:val="1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5028</Words>
  <Characters>5259</Characters>
  <Lines>0</Lines>
  <Paragraphs>0</Paragraphs>
  <TotalTime>19</TotalTime>
  <ScaleCrop>false</ScaleCrop>
  <LinksUpToDate>false</LinksUpToDate>
  <CharactersWithSpaces>5287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2026-05-27T09:52:51Z</dcterms:created>
  <dc:creator>Administrator</dc:creator>
  <cp:lastModifiedBy>Bella</cp:lastModifiedBy>
  <dcterms:modified xsi:type="dcterms:W3CDTF">2026-05-28T05:16:41Z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eyJoZGlkIjoiNDNkZTczOGQ2NDE0NjZiYjUwZGEyODQ3NzdhMDZmZGUiLCJ1c2VySWQiOiI0OTM1MTMxNTEifQ==</vt:lpwstr>
  </property>
  <property fmtid="{D5CDD505-2E9C-101B-9397-08002B2CF9AE}" pid="4" name="ICV">
    <vt:lpwstr>6C70074668E3485F97E6EB09D271A681_13</vt:lpwstr>
  </property>
</Properties>
</file>