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版本号：YCXM-202601320260611001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西安市灞桥区东枣园小学设备采购项目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YCXM-2026013</w:t>
      </w:r>
      <w:r>
        <w:br/>
      </w:r>
      <w:r>
        <w:br/>
      </w:r>
      <w:r>
        <w:br/>
      </w:r>
    </w:p>
    <w:p>
      <w:pPr>
        <w:pStyle w:val="null3"/>
        <w:jc w:val="center"/>
        <w:outlineLvl w:val="2"/>
      </w:pPr>
      <w:r>
        <w:rPr>
          <w:rFonts w:ascii="仿宋_GB2312" w:hAnsi="仿宋_GB2312" w:cs="仿宋_GB2312" w:eastAsia="仿宋_GB2312"/>
          <w:sz w:val="28"/>
          <w:b/>
        </w:rPr>
        <w:t>陕西省西安市灞桥区东枣园小学</w:t>
      </w:r>
    </w:p>
    <w:p>
      <w:pPr>
        <w:pStyle w:val="null3"/>
        <w:jc w:val="center"/>
        <w:outlineLvl w:val="2"/>
      </w:pPr>
      <w:r>
        <w:rPr>
          <w:rFonts w:ascii="仿宋_GB2312" w:hAnsi="仿宋_GB2312" w:cs="仿宋_GB2312" w:eastAsia="仿宋_GB2312"/>
          <w:sz w:val="28"/>
          <w:b/>
        </w:rPr>
        <w:t>陕西玥诚工程项目管理有限公司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陕西玥诚工程项目管理有限公司</w:t>
      </w:r>
      <w:r>
        <w:rPr>
          <w:rFonts w:ascii="仿宋_GB2312" w:hAnsi="仿宋_GB2312" w:cs="仿宋_GB2312" w:eastAsia="仿宋_GB2312"/>
        </w:rPr>
        <w:t>（以下简称“代理机构”）受</w:t>
      </w:r>
      <w:r>
        <w:rPr>
          <w:rFonts w:ascii="仿宋_GB2312" w:hAnsi="仿宋_GB2312" w:cs="仿宋_GB2312" w:eastAsia="仿宋_GB2312"/>
        </w:rPr>
        <w:t>陕西省西安市灞桥区东枣园小学</w:t>
      </w:r>
      <w:r>
        <w:rPr>
          <w:rFonts w:ascii="仿宋_GB2312" w:hAnsi="仿宋_GB2312" w:cs="仿宋_GB2312" w:eastAsia="仿宋_GB2312"/>
        </w:rPr>
        <w:t>委托，拟对</w:t>
      </w:r>
      <w:r>
        <w:rPr>
          <w:rFonts w:ascii="仿宋_GB2312" w:hAnsi="仿宋_GB2312" w:cs="仿宋_GB2312" w:eastAsia="仿宋_GB2312"/>
        </w:rPr>
        <w:t>西安市灞桥区东枣园小学设备采购项目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YCXM-2026013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西安市灞桥区东枣园小学设备采购项目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为保证教学正常进行，拟采购单人课桌凳，电子琴，打击乐器，智慧黑板。</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1、营业执照：响应供应商需提供合法有效的统一社会信用代码营业执照。</w:t>
      </w:r>
    </w:p>
    <w:p>
      <w:pPr>
        <w:pStyle w:val="null3"/>
      </w:pPr>
      <w:r>
        <w:rPr>
          <w:rFonts w:ascii="仿宋_GB2312" w:hAnsi="仿宋_GB2312" w:cs="仿宋_GB2312" w:eastAsia="仿宋_GB2312"/>
        </w:rPr>
        <w:t>2、身份证明：法定代表人参加投标的，须提供本人身份证加盖公章的复印件。 法定代表人授权他人参加投标的，须提供法定代表人授权委托书及被授权代表的身份证复印件。</w:t>
      </w:r>
    </w:p>
    <w:p>
      <w:pPr>
        <w:pStyle w:val="null3"/>
      </w:pPr>
      <w:r>
        <w:rPr>
          <w:rFonts w:ascii="仿宋_GB2312" w:hAnsi="仿宋_GB2312" w:cs="仿宋_GB2312" w:eastAsia="仿宋_GB2312"/>
        </w:rPr>
        <w:t>3、财务状况报告：响应供应商需提供2024年度或2025年度经审计的供应商财务审计报告或者开标前三个月内的银行资信证明或财政部门认可的政府采购专业担保机构出具的投标担保函；（以上三种形式的资料提供任何一种即可）注：提供财务报告的,必须为上传至注册会计师行业统一监管平台(http://acc.mof.gov.cn)并具有全国统一的二维码的财务报告。</w:t>
      </w:r>
    </w:p>
    <w:p>
      <w:pPr>
        <w:pStyle w:val="null3"/>
      </w:pPr>
      <w:r>
        <w:rPr>
          <w:rFonts w:ascii="仿宋_GB2312" w:hAnsi="仿宋_GB2312" w:cs="仿宋_GB2312" w:eastAsia="仿宋_GB2312"/>
        </w:rPr>
        <w:t>4、社会保障资金缴纳证明：提供2025年12月至开标截止日前已缴纳的任意1个月的社会保障资金缴存单据或社保机构开具的社会保险参保缴费情况证明，依法不需要缴纳社会保障资金的单位应提供相关证明材料。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5、税收缴纳证明：提供2025年12月至开标截止日前已缴纳的任意1个月的纳税证明或完税证明，依法免税的单位应提供相关证明材料。</w:t>
      </w:r>
    </w:p>
    <w:p>
      <w:pPr>
        <w:pStyle w:val="null3"/>
      </w:pPr>
      <w:r>
        <w:rPr>
          <w:rFonts w:ascii="仿宋_GB2312" w:hAnsi="仿宋_GB2312" w:cs="仿宋_GB2312" w:eastAsia="仿宋_GB2312"/>
        </w:rPr>
        <w:t>6、履约能力：具备履行合同所必需的设备和专业技术能力的证明材料(由供应商根据项目需求提供说明材料或者承诺)。</w:t>
      </w:r>
    </w:p>
    <w:p>
      <w:pPr>
        <w:pStyle w:val="null3"/>
      </w:pPr>
      <w:r>
        <w:rPr>
          <w:rFonts w:ascii="仿宋_GB2312" w:hAnsi="仿宋_GB2312" w:cs="仿宋_GB2312" w:eastAsia="仿宋_GB2312"/>
        </w:rPr>
        <w:t>7、企业信誉：参加本次政府采购活动前3年内在经营活动中没有重大违纪、未被列入失信被执行人、重大税收违法案件当事人名单、政府采购严重违法失信行为记录名单的书面声明。开标评审将登陆“信用中国”网站（www.creditchina.gov.cn）和“中国政府采购网”（www.ccgp.gov.cn）进行审查。</w:t>
      </w:r>
    </w:p>
    <w:p>
      <w:pPr>
        <w:pStyle w:val="null3"/>
      </w:pPr>
      <w:r>
        <w:rPr>
          <w:rFonts w:ascii="仿宋_GB2312" w:hAnsi="仿宋_GB2312" w:cs="仿宋_GB2312" w:eastAsia="仿宋_GB2312"/>
        </w:rPr>
        <w:t>8、关联关系：单位负责人为同一人或者存在控股、管理关系的不同单位不得同时参加同一项目投标。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陕西省西安市灞桥区东枣园小学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西安市灞桥区纺织城街道鹿原街南段99号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严老师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18091822329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陕西玥诚工程项目管理有限公司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西安市雁塔区雁展路莱安中心T7栋10层1006室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710005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卞兴前</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18119311406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西安市灞桥区政府采购管理股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唐鹏翙</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83519160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采购包1：230,000.00元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代理服务费以中标金额为基数，依据国家计委颁发的《招标代理服务收费管理暂行办法》（计价格[2002]1980号）和国家发改委办公厅颁发的《关于招标代理服务收费有关问题的通知》（发改办价格[2003]857号）的有关规定执行，本项目代理服务费按照定额6000 元收取。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陕西省西安市灞桥区东枣园小学</w:t>
      </w:r>
      <w:r>
        <w:rPr>
          <w:rFonts w:ascii="仿宋_GB2312" w:hAnsi="仿宋_GB2312" w:cs="仿宋_GB2312" w:eastAsia="仿宋_GB2312"/>
        </w:rPr>
        <w:t>和</w:t>
      </w:r>
      <w:r>
        <w:rPr>
          <w:rFonts w:ascii="仿宋_GB2312" w:hAnsi="仿宋_GB2312" w:cs="仿宋_GB2312" w:eastAsia="仿宋_GB2312"/>
        </w:rPr>
        <w:t>陕西玥诚工程项目管理有限公司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陕西省西安市灞桥区东枣园小学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陕西玥诚工程项目管理有限公司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陕西省西安市灞桥区东枣园小学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陕西玥诚工程项目管理有限公司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一、采购人应在成交通知书发出之日起二十五日内与成交供应商签订采购合同。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符合现行的国家标准或国家行政部门颁布的法律法规、规章制度等。没有国家标准的，参考行业标准。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陕西玥诚工程项目管理有限公司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陕西玥诚工程项目管理有限公司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陕西玥诚工程项目管理有限公司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联系人：卞兴前</w:t>
      </w:r>
    </w:p>
    <w:p>
      <w:pPr>
        <w:pStyle w:val="null3"/>
      </w:pPr>
      <w:r>
        <w:rPr>
          <w:rFonts w:ascii="仿宋_GB2312" w:hAnsi="仿宋_GB2312" w:cs="仿宋_GB2312" w:eastAsia="仿宋_GB2312"/>
        </w:rPr>
        <w:t>联系电话： 18119311406</w:t>
      </w:r>
    </w:p>
    <w:p>
      <w:pPr>
        <w:pStyle w:val="null3"/>
      </w:pPr>
      <w:r>
        <w:rPr>
          <w:rFonts w:ascii="仿宋_GB2312" w:hAnsi="仿宋_GB2312" w:cs="仿宋_GB2312" w:eastAsia="仿宋_GB2312"/>
        </w:rPr>
        <w:t>地址：西安市雁塔区雁展路莱安中心T7栋10层1006室</w:t>
      </w:r>
    </w:p>
    <w:p>
      <w:pPr>
        <w:pStyle w:val="null3"/>
      </w:pPr>
      <w:r>
        <w:rPr>
          <w:rFonts w:ascii="仿宋_GB2312" w:hAnsi="仿宋_GB2312" w:cs="仿宋_GB2312" w:eastAsia="仿宋_GB2312"/>
        </w:rPr>
        <w:t>邮编：710005</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为保证教学正常进行，拟采购单人课桌凳，电子琴，打击乐器，智慧黑板。</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230,000.00</w:t>
      </w:r>
    </w:p>
    <w:p>
      <w:pPr>
        <w:pStyle w:val="null3"/>
      </w:pPr>
      <w:r>
        <w:rPr>
          <w:rFonts w:ascii="仿宋_GB2312" w:hAnsi="仿宋_GB2312" w:cs="仿宋_GB2312" w:eastAsia="仿宋_GB2312"/>
        </w:rPr>
        <w:t>采购包最高限价（元）: 230,000.00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灞桥区东枣园小学设备采购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230,000.00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标的名称：灞桥区东枣园小学设备采购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b/>
              </w:rPr>
              <w:t>一、项目概况</w:t>
            </w:r>
          </w:p>
          <w:p>
            <w:pPr>
              <w:pStyle w:val="null3"/>
              <w:ind w:firstLine="400"/>
            </w:pPr>
            <w:r>
              <w:rPr>
                <w:rFonts w:ascii="仿宋_GB2312" w:hAnsi="仿宋_GB2312" w:cs="仿宋_GB2312" w:eastAsia="仿宋_GB2312"/>
              </w:rPr>
              <w:t>为保证教学正常进行，拟采购单人课桌凳，</w:t>
            </w:r>
            <w:r>
              <w:rPr>
                <w:rFonts w:ascii="仿宋_GB2312" w:hAnsi="仿宋_GB2312" w:cs="仿宋_GB2312" w:eastAsia="仿宋_GB2312"/>
              </w:rPr>
              <w:t>电子琴</w:t>
            </w:r>
            <w:r>
              <w:rPr>
                <w:rFonts w:ascii="仿宋_GB2312" w:hAnsi="仿宋_GB2312" w:cs="仿宋_GB2312" w:eastAsia="仿宋_GB2312"/>
              </w:rPr>
              <w:t>，</w:t>
            </w:r>
            <w:r>
              <w:rPr>
                <w:rFonts w:ascii="仿宋_GB2312" w:hAnsi="仿宋_GB2312" w:cs="仿宋_GB2312" w:eastAsia="仿宋_GB2312"/>
              </w:rPr>
              <w:t>打击乐器</w:t>
            </w:r>
            <w:r>
              <w:rPr>
                <w:rFonts w:ascii="仿宋_GB2312" w:hAnsi="仿宋_GB2312" w:cs="仿宋_GB2312" w:eastAsia="仿宋_GB2312"/>
              </w:rPr>
              <w:t>，</w:t>
            </w:r>
            <w:r>
              <w:rPr>
                <w:rFonts w:ascii="仿宋_GB2312" w:hAnsi="仿宋_GB2312" w:cs="仿宋_GB2312" w:eastAsia="仿宋_GB2312"/>
              </w:rPr>
              <w:t>智慧黑板。</w:t>
            </w:r>
          </w:p>
          <w:p>
            <w:pPr>
              <w:pStyle w:val="null3"/>
            </w:pPr>
            <w:r>
              <w:rPr>
                <w:rFonts w:ascii="仿宋_GB2312" w:hAnsi="仿宋_GB2312" w:cs="仿宋_GB2312" w:eastAsia="仿宋_GB2312"/>
                <w:b/>
              </w:rPr>
              <w:t>二、</w:t>
            </w:r>
            <w:r>
              <w:rPr>
                <w:rFonts w:ascii="仿宋_GB2312" w:hAnsi="仿宋_GB2312" w:cs="仿宋_GB2312" w:eastAsia="仿宋_GB2312"/>
                <w:b/>
              </w:rPr>
              <w:t>采购</w:t>
            </w:r>
            <w:r>
              <w:rPr>
                <w:rFonts w:ascii="仿宋_GB2312" w:hAnsi="仿宋_GB2312" w:cs="仿宋_GB2312" w:eastAsia="仿宋_GB2312"/>
                <w:b/>
              </w:rPr>
              <w:t>内容</w:t>
            </w:r>
          </w:p>
          <w:p>
            <w:pPr>
              <w:pStyle w:val="null3"/>
              <w:ind w:firstLine="400"/>
            </w:pPr>
            <w:r>
              <w:rPr>
                <w:rFonts w:ascii="仿宋_GB2312" w:hAnsi="仿宋_GB2312" w:cs="仿宋_GB2312" w:eastAsia="仿宋_GB2312"/>
              </w:rPr>
              <w:t>单人课桌椅</w:t>
            </w:r>
            <w:r>
              <w:rPr>
                <w:rFonts w:ascii="仿宋_GB2312" w:hAnsi="仿宋_GB2312" w:cs="仿宋_GB2312" w:eastAsia="仿宋_GB2312"/>
              </w:rPr>
              <w:t>200套，电子琴4台，打击乐器45套，智慧黑板4台。</w:t>
            </w:r>
          </w:p>
          <w:p>
            <w:pPr>
              <w:pStyle w:val="null3"/>
              <w:ind w:firstLine="400"/>
            </w:pPr>
            <w:r>
              <w:rPr>
                <w:rFonts w:ascii="仿宋_GB2312" w:hAnsi="仿宋_GB2312" w:cs="仿宋_GB2312" w:eastAsia="仿宋_GB2312"/>
              </w:rPr>
              <w:t>（本项目核心产品为：单人课桌凳）</w:t>
            </w:r>
          </w:p>
          <w:p>
            <w:pPr>
              <w:pStyle w:val="null3"/>
            </w:pPr>
            <w:r>
              <w:rPr>
                <w:rFonts w:ascii="仿宋_GB2312" w:hAnsi="仿宋_GB2312" w:cs="仿宋_GB2312" w:eastAsia="仿宋_GB2312"/>
                <w:b/>
              </w:rPr>
              <w:t>三、技术要求</w:t>
            </w:r>
          </w:p>
          <w:p>
            <w:pPr>
              <w:pStyle w:val="null3"/>
              <w:ind w:firstLine="400"/>
            </w:pPr>
            <w:r>
              <w:rPr>
                <w:rFonts w:ascii="仿宋_GB2312" w:hAnsi="仿宋_GB2312" w:cs="仿宋_GB2312" w:eastAsia="仿宋_GB2312"/>
              </w:rPr>
              <w:t>一、德体音美器材采购</w:t>
            </w:r>
          </w:p>
          <w:p>
            <w:pPr>
              <w:pStyle w:val="null3"/>
              <w:ind w:firstLine="400"/>
            </w:pPr>
            <w:r>
              <w:rPr>
                <w:rFonts w:ascii="仿宋_GB2312" w:hAnsi="仿宋_GB2312" w:cs="仿宋_GB2312" w:eastAsia="仿宋_GB2312"/>
              </w:rPr>
              <w:t>音乐器材</w:t>
            </w:r>
          </w:p>
          <w:tbl>
            <w:tblPr>
              <w:tblInd w:type="dxa" w:w="120"/>
              <w:tblBorders>
                <w:top w:val="none" w:color="000000" w:sz="4"/>
                <w:left w:val="none" w:color="000000" w:sz="4"/>
                <w:bottom w:val="none" w:color="000000" w:sz="4"/>
                <w:right w:val="none" w:color="000000" w:sz="4"/>
                <w:insideH w:val="none"/>
                <w:insideV w:val="none"/>
              </w:tblBorders>
            </w:tblPr>
            <w:tblGrid>
              <w:gridCol w:w="378"/>
              <w:gridCol w:w="1667"/>
              <w:gridCol w:w="235"/>
              <w:gridCol w:w="260"/>
            </w:tblGrid>
            <w:tr>
              <w:tc>
                <w:tcPr>
                  <w:tcW w:type="dxa" w:w="3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名称</w:t>
                  </w:r>
                </w:p>
              </w:tc>
              <w:tc>
                <w:tcPr>
                  <w:tcW w:type="dxa" w:w="16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参数</w:t>
                  </w:r>
                </w:p>
              </w:tc>
              <w:tc>
                <w:tcPr>
                  <w:tcW w:type="dxa" w:w="2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单位</w:t>
                  </w:r>
                </w:p>
              </w:tc>
              <w:tc>
                <w:tcPr>
                  <w:tcW w:type="dxa" w:w="2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数量</w:t>
                  </w:r>
                </w:p>
              </w:tc>
            </w:tr>
            <w:tr>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电子琴</w:t>
                  </w:r>
                </w:p>
              </w:tc>
              <w:tc>
                <w:tcPr>
                  <w:tcW w:type="dxa" w:w="1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1、键盘采用</w:t>
                  </w:r>
                  <w:r>
                    <w:rPr>
                      <w:rFonts w:ascii="仿宋_GB2312" w:hAnsi="仿宋_GB2312" w:cs="仿宋_GB2312" w:eastAsia="仿宋_GB2312"/>
                      <w:sz w:val="20"/>
                    </w:rPr>
                    <w:t>≥</w:t>
                  </w:r>
                  <w:r>
                    <w:rPr>
                      <w:rFonts w:ascii="仿宋_GB2312" w:hAnsi="仿宋_GB2312" w:cs="仿宋_GB2312" w:eastAsia="仿宋_GB2312"/>
                      <w:sz w:val="20"/>
                    </w:rPr>
                    <w:t>76键力度键盘</w:t>
                  </w:r>
                </w:p>
                <w:p>
                  <w:pPr>
                    <w:pStyle w:val="null3"/>
                    <w:jc w:val="both"/>
                  </w:pPr>
                  <w:r>
                    <w:rPr>
                      <w:rFonts w:ascii="仿宋_GB2312" w:hAnsi="仿宋_GB2312" w:cs="仿宋_GB2312" w:eastAsia="仿宋_GB2312"/>
                      <w:sz w:val="20"/>
                    </w:rPr>
                    <w:t>2、音源AWM立体声采样</w:t>
                  </w:r>
                </w:p>
                <w:p>
                  <w:pPr>
                    <w:pStyle w:val="null3"/>
                    <w:jc w:val="both"/>
                  </w:pPr>
                  <w:r>
                    <w:rPr>
                      <w:rFonts w:ascii="仿宋_GB2312" w:hAnsi="仿宋_GB2312" w:cs="仿宋_GB2312" w:eastAsia="仿宋_GB2312"/>
                      <w:sz w:val="20"/>
                    </w:rPr>
                    <w:t>3、复 音 数</w:t>
                  </w:r>
                  <w:r>
                    <w:rPr>
                      <w:rFonts w:ascii="仿宋_GB2312" w:hAnsi="仿宋_GB2312" w:cs="仿宋_GB2312" w:eastAsia="仿宋_GB2312"/>
                      <w:sz w:val="20"/>
                      <w:color w:val="000000"/>
                    </w:rPr>
                    <w:t>≥</w:t>
                  </w:r>
                  <w:r>
                    <w:rPr>
                      <w:rFonts w:ascii="仿宋_GB2312" w:hAnsi="仿宋_GB2312" w:cs="仿宋_GB2312" w:eastAsia="仿宋_GB2312"/>
                      <w:sz w:val="20"/>
                    </w:rPr>
                    <w:t>45</w:t>
                  </w:r>
                </w:p>
                <w:p>
                  <w:pPr>
                    <w:pStyle w:val="null3"/>
                    <w:jc w:val="both"/>
                  </w:pPr>
                  <w:r>
                    <w:rPr>
                      <w:rFonts w:ascii="仿宋_GB2312" w:hAnsi="仿宋_GB2312" w:cs="仿宋_GB2312" w:eastAsia="仿宋_GB2312"/>
                      <w:sz w:val="20"/>
                    </w:rPr>
                    <w:t>4、音色</w:t>
                  </w:r>
                  <w:r>
                    <w:rPr>
                      <w:rFonts w:ascii="仿宋_GB2312" w:hAnsi="仿宋_GB2312" w:cs="仿宋_GB2312" w:eastAsia="仿宋_GB2312"/>
                      <w:sz w:val="20"/>
                      <w:color w:val="000000"/>
                    </w:rPr>
                    <w:t>≥</w:t>
                  </w:r>
                  <w:r>
                    <w:rPr>
                      <w:rFonts w:ascii="仿宋_GB2312" w:hAnsi="仿宋_GB2312" w:cs="仿宋_GB2312" w:eastAsia="仿宋_GB2312"/>
                      <w:sz w:val="20"/>
                    </w:rPr>
                    <w:t>750种</w:t>
                  </w:r>
                </w:p>
                <w:p>
                  <w:pPr>
                    <w:pStyle w:val="null3"/>
                    <w:jc w:val="both"/>
                  </w:pPr>
                  <w:r>
                    <w:rPr>
                      <w:rFonts w:ascii="仿宋_GB2312" w:hAnsi="仿宋_GB2312" w:cs="仿宋_GB2312" w:eastAsia="仿宋_GB2312"/>
                      <w:sz w:val="20"/>
                    </w:rPr>
                    <w:t>5、接口：USB连接主机接口、USB闪存接口、电源适配器接口耳机接口、延音踏板接口、音频输入接口</w:t>
                  </w:r>
                </w:p>
              </w:tc>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架</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r>
            <w:tr>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打击乐器</w:t>
                  </w:r>
                </w:p>
              </w:tc>
              <w:tc>
                <w:tcPr>
                  <w:tcW w:type="dxa" w:w="1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响板、鱼形梆子、双响筒、铃鼓、木沙锤、碰钟、三角铁单支、沙筒、棒铃</w:t>
                  </w:r>
                  <w:r>
                    <w:rPr>
                      <w:rFonts w:ascii="仿宋_GB2312" w:hAnsi="仿宋_GB2312" w:cs="仿宋_GB2312" w:eastAsia="仿宋_GB2312"/>
                      <w:sz w:val="20"/>
                    </w:rPr>
                    <w:t>13铃、蛙鸣筒、沙蛋、手鼓、舞板。</w:t>
                  </w:r>
                </w:p>
              </w:tc>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45</w:t>
                  </w:r>
                </w:p>
              </w:tc>
            </w:tr>
          </w:tbl>
          <w:p>
            <w:pPr>
              <w:pStyle w:val="null3"/>
              <w:ind w:firstLine="400"/>
            </w:pPr>
            <w:r>
              <w:rPr>
                <w:rFonts w:ascii="仿宋_GB2312" w:hAnsi="仿宋_GB2312" w:cs="仿宋_GB2312" w:eastAsia="仿宋_GB2312"/>
              </w:rPr>
              <w:t>二、课桌椅采购</w:t>
            </w:r>
          </w:p>
          <w:tbl>
            <w:tblPr>
              <w:tblInd w:type="dxa" w:w="120"/>
              <w:tblBorders>
                <w:top w:val="none" w:color="000000" w:sz="4"/>
                <w:left w:val="none" w:color="000000" w:sz="4"/>
                <w:bottom w:val="none" w:color="000000" w:sz="4"/>
                <w:right w:val="none" w:color="000000" w:sz="4"/>
                <w:insideH w:val="none"/>
                <w:insideV w:val="none"/>
              </w:tblBorders>
            </w:tblPr>
            <w:tblGrid>
              <w:gridCol w:w="271"/>
              <w:gridCol w:w="1775"/>
              <w:gridCol w:w="230"/>
              <w:gridCol w:w="266"/>
            </w:tblGrid>
            <w:tr>
              <w:tc>
                <w:tcPr>
                  <w:tcW w:type="dxa" w:w="2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名称</w:t>
                  </w:r>
                </w:p>
              </w:tc>
              <w:tc>
                <w:tcPr>
                  <w:tcW w:type="dxa" w:w="17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参数</w:t>
                  </w:r>
                </w:p>
              </w:tc>
              <w:tc>
                <w:tcPr>
                  <w:tcW w:type="dxa" w:w="2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单位</w:t>
                  </w:r>
                </w:p>
              </w:tc>
              <w:tc>
                <w:tcPr>
                  <w:tcW w:type="dxa" w:w="2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数量</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单人课桌凳</w:t>
                  </w:r>
                </w:p>
              </w:tc>
              <w:tc>
                <w:tcPr>
                  <w:tcW w:type="dxa" w:w="1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一、课桌技术参数</w:t>
                  </w:r>
                </w:p>
                <w:p>
                  <w:pPr>
                    <w:pStyle w:val="null3"/>
                    <w:jc w:val="left"/>
                  </w:pPr>
                  <w:r>
                    <w:rPr>
                      <w:rFonts w:ascii="仿宋_GB2312" w:hAnsi="仿宋_GB2312" w:cs="仿宋_GB2312" w:eastAsia="仿宋_GB2312"/>
                      <w:sz w:val="20"/>
                    </w:rPr>
                    <w:t>1、课桌</w:t>
                  </w:r>
                  <w:r>
                    <w:rPr>
                      <w:rFonts w:ascii="仿宋_GB2312" w:hAnsi="仿宋_GB2312" w:cs="仿宋_GB2312" w:eastAsia="仿宋_GB2312"/>
                      <w:sz w:val="20"/>
                      <w:b/>
                      <w:color w:val="000000"/>
                    </w:rPr>
                    <w:t>参考尺寸</w:t>
                  </w:r>
                  <w:r>
                    <w:rPr>
                      <w:rFonts w:ascii="仿宋_GB2312" w:hAnsi="仿宋_GB2312" w:cs="仿宋_GB2312" w:eastAsia="仿宋_GB2312"/>
                      <w:sz w:val="20"/>
                    </w:rPr>
                    <w:t>：长</w:t>
                  </w:r>
                  <w:r>
                    <w:rPr>
                      <w:rFonts w:ascii="仿宋_GB2312" w:hAnsi="仿宋_GB2312" w:cs="仿宋_GB2312" w:eastAsia="仿宋_GB2312"/>
                      <w:sz w:val="20"/>
                    </w:rPr>
                    <w:t>600mm*宽400mm高670-760mm</w:t>
                  </w:r>
                </w:p>
                <w:p>
                  <w:pPr>
                    <w:pStyle w:val="null3"/>
                    <w:jc w:val="left"/>
                  </w:pPr>
                  <w:r>
                    <w:rPr>
                      <w:rFonts w:ascii="仿宋_GB2312" w:hAnsi="仿宋_GB2312" w:cs="仿宋_GB2312" w:eastAsia="仿宋_GB2312"/>
                      <w:sz w:val="20"/>
                    </w:rPr>
                    <w:t>桌面规格：长</w:t>
                  </w:r>
                  <w:r>
                    <w:rPr>
                      <w:rFonts w:ascii="仿宋_GB2312" w:hAnsi="仿宋_GB2312" w:cs="仿宋_GB2312" w:eastAsia="仿宋_GB2312"/>
                      <w:sz w:val="20"/>
                    </w:rPr>
                    <w:t>600mm，宽400mm，厚18mm，颜色：蓝边白橡面</w:t>
                  </w:r>
                </w:p>
                <w:p>
                  <w:pPr>
                    <w:pStyle w:val="null3"/>
                    <w:jc w:val="left"/>
                  </w:pPr>
                  <w:r>
                    <w:rPr>
                      <w:rFonts w:ascii="仿宋_GB2312" w:hAnsi="仿宋_GB2312" w:cs="仿宋_GB2312" w:eastAsia="仿宋_GB2312"/>
                      <w:sz w:val="20"/>
                    </w:rPr>
                    <w:t>2、桌面采用</w:t>
                  </w:r>
                  <w:r>
                    <w:rPr>
                      <w:rFonts w:ascii="仿宋_GB2312" w:hAnsi="仿宋_GB2312" w:cs="仿宋_GB2312" w:eastAsia="仿宋_GB2312"/>
                      <w:sz w:val="20"/>
                      <w:color w:val="000000"/>
                    </w:rPr>
                    <w:t>≥18mm优质中纤密度桌面，桌面颜色为白橡木纹色，桌板四周全新ABS注塑而成。表面平整光滑，无凹凸，无气泡，书写流畅，带笔槽，表面木纹为横纹。</w:t>
                  </w:r>
                </w:p>
                <w:p>
                  <w:pPr>
                    <w:pStyle w:val="null3"/>
                    <w:jc w:val="left"/>
                  </w:pPr>
                  <w:r>
                    <w:rPr>
                      <w:rFonts w:ascii="仿宋_GB2312" w:hAnsi="仿宋_GB2312" w:cs="仿宋_GB2312" w:eastAsia="仿宋_GB2312"/>
                      <w:sz w:val="20"/>
                      <w:color w:val="000000"/>
                    </w:rPr>
                    <w:t>3、钢制部分表面静电粉末喷塑。</w:t>
                  </w:r>
                  <w:r>
                    <w:rPr>
                      <w:rFonts w:ascii="仿宋_GB2312" w:hAnsi="仿宋_GB2312" w:cs="仿宋_GB2312" w:eastAsia="仿宋_GB2312"/>
                      <w:sz w:val="20"/>
                    </w:rPr>
                    <w:t>台椅套有胶套和固定升降柱</w:t>
                  </w:r>
                </w:p>
                <w:p>
                  <w:pPr>
                    <w:pStyle w:val="null3"/>
                    <w:jc w:val="left"/>
                  </w:pPr>
                  <w:r>
                    <w:rPr>
                      <w:rFonts w:ascii="仿宋_GB2312" w:hAnsi="仿宋_GB2312" w:cs="仿宋_GB2312" w:eastAsia="仿宋_GB2312"/>
                      <w:sz w:val="20"/>
                    </w:rPr>
                    <w:t>4、站脚接地面配有防滑脚垫，脚垫为蓝色塑胶。</w:t>
                  </w:r>
                </w:p>
                <w:p>
                  <w:pPr>
                    <w:pStyle w:val="null3"/>
                    <w:jc w:val="left"/>
                  </w:pPr>
                  <w:r>
                    <w:rPr>
                      <w:rFonts w:ascii="仿宋_GB2312" w:hAnsi="仿宋_GB2312" w:cs="仿宋_GB2312" w:eastAsia="仿宋_GB2312"/>
                      <w:sz w:val="20"/>
                    </w:rPr>
                    <w:t>二、</w:t>
                  </w:r>
                  <w:r>
                    <w:rPr>
                      <w:rFonts w:ascii="仿宋_GB2312" w:hAnsi="仿宋_GB2312" w:cs="仿宋_GB2312" w:eastAsia="仿宋_GB2312"/>
                      <w:sz w:val="20"/>
                    </w:rPr>
                    <w:t>课凳技术参数</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color w:val="000000"/>
                    </w:rPr>
                    <w:t>课凳参考尺寸</w:t>
                  </w:r>
                  <w:r>
                    <w:rPr>
                      <w:rFonts w:ascii="仿宋_GB2312" w:hAnsi="仿宋_GB2312" w:cs="仿宋_GB2312" w:eastAsia="仿宋_GB2312"/>
                      <w:sz w:val="20"/>
                    </w:rPr>
                    <w:t>：长</w:t>
                  </w:r>
                  <w:r>
                    <w:rPr>
                      <w:rFonts w:ascii="仿宋_GB2312" w:hAnsi="仿宋_GB2312" w:cs="仿宋_GB2312" w:eastAsia="仿宋_GB2312"/>
                      <w:sz w:val="20"/>
                    </w:rPr>
                    <w:t>340mm宽240mm高380-420mm(可于调节）</w:t>
                  </w:r>
                </w:p>
                <w:p>
                  <w:pPr>
                    <w:pStyle w:val="null3"/>
                    <w:jc w:val="left"/>
                  </w:pPr>
                  <w:r>
                    <w:rPr>
                      <w:rFonts w:ascii="仿宋_GB2312" w:hAnsi="仿宋_GB2312" w:cs="仿宋_GB2312" w:eastAsia="仿宋_GB2312"/>
                      <w:sz w:val="20"/>
                    </w:rPr>
                    <w:t>6、凳面</w:t>
                  </w:r>
                  <w:r>
                    <w:rPr>
                      <w:rFonts w:ascii="仿宋_GB2312" w:hAnsi="仿宋_GB2312" w:cs="仿宋_GB2312" w:eastAsia="仿宋_GB2312"/>
                      <w:sz w:val="20"/>
                      <w:color w:val="000000"/>
                    </w:rPr>
                    <w:t>参考尺寸</w:t>
                  </w:r>
                  <w:r>
                    <w:rPr>
                      <w:rFonts w:ascii="仿宋_GB2312" w:hAnsi="仿宋_GB2312" w:cs="仿宋_GB2312" w:eastAsia="仿宋_GB2312"/>
                      <w:sz w:val="20"/>
                    </w:rPr>
                    <w:t>：长</w:t>
                  </w:r>
                  <w:r>
                    <w:rPr>
                      <w:rFonts w:ascii="仿宋_GB2312" w:hAnsi="仿宋_GB2312" w:cs="仿宋_GB2312" w:eastAsia="仿宋_GB2312"/>
                      <w:sz w:val="20"/>
                    </w:rPr>
                    <w:t>340mm，宽240mm，壁厚&gt;18mm；颜色：凳面同课桌面相同。</w:t>
                  </w:r>
                </w:p>
                <w:p>
                  <w:pPr>
                    <w:pStyle w:val="null3"/>
                    <w:jc w:val="left"/>
                  </w:pPr>
                  <w:r>
                    <w:rPr>
                      <w:rFonts w:ascii="仿宋_GB2312" w:hAnsi="仿宋_GB2312" w:cs="仿宋_GB2312" w:eastAsia="仿宋_GB2312"/>
                      <w:sz w:val="20"/>
                    </w:rPr>
                    <w:t>7、椅面采用</w:t>
                  </w:r>
                  <w:r>
                    <w:rPr>
                      <w:rFonts w:ascii="仿宋_GB2312" w:hAnsi="仿宋_GB2312" w:cs="仿宋_GB2312" w:eastAsia="仿宋_GB2312"/>
                      <w:sz w:val="20"/>
                      <w:color w:val="000000"/>
                    </w:rPr>
                    <w:t>≥</w:t>
                  </w:r>
                  <w:r>
                    <w:rPr>
                      <w:rFonts w:ascii="仿宋_GB2312" w:hAnsi="仿宋_GB2312" w:cs="仿宋_GB2312" w:eastAsia="仿宋_GB2312"/>
                      <w:sz w:val="20"/>
                    </w:rPr>
                    <w:t>3mm的 PP材料</w:t>
                  </w:r>
                </w:p>
                <w:p>
                  <w:pPr>
                    <w:pStyle w:val="null3"/>
                    <w:jc w:val="left"/>
                  </w:pPr>
                  <w:r>
                    <w:rPr>
                      <w:rFonts w:ascii="仿宋_GB2312" w:hAnsi="仿宋_GB2312" w:cs="仿宋_GB2312" w:eastAsia="仿宋_GB2312"/>
                      <w:sz w:val="20"/>
                    </w:rPr>
                    <w:t>8、塑钢课桌凳的外表与周边全部配置R圆角，不留锐角。</w:t>
                  </w:r>
                </w:p>
              </w:tc>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套</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200</w:t>
                  </w:r>
                </w:p>
              </w:tc>
            </w:tr>
          </w:tbl>
          <w:p>
            <w:pPr>
              <w:pStyle w:val="null3"/>
              <w:ind w:firstLine="400"/>
            </w:pPr>
            <w:r>
              <w:rPr>
                <w:rFonts w:ascii="仿宋_GB2312" w:hAnsi="仿宋_GB2312" w:cs="仿宋_GB2312" w:eastAsia="仿宋_GB2312"/>
              </w:rPr>
              <w:t>三、信息化设施设备采购</w:t>
            </w:r>
          </w:p>
          <w:tbl>
            <w:tblPr>
              <w:tblInd w:type="dxa" w:w="120"/>
              <w:tblBorders>
                <w:top w:val="none" w:color="000000" w:sz="4"/>
                <w:left w:val="none" w:color="000000" w:sz="4"/>
                <w:bottom w:val="none" w:color="000000" w:sz="4"/>
                <w:right w:val="none" w:color="000000" w:sz="4"/>
                <w:insideH w:val="none"/>
                <w:insideV w:val="none"/>
              </w:tblBorders>
            </w:tblPr>
            <w:tblGrid>
              <w:gridCol w:w="225"/>
              <w:gridCol w:w="1816"/>
              <w:gridCol w:w="240"/>
              <w:gridCol w:w="260"/>
            </w:tblGrid>
            <w:tr>
              <w:tc>
                <w:tcPr>
                  <w:tcW w:type="dxa" w:w="2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名称</w:t>
                  </w:r>
                </w:p>
              </w:tc>
              <w:tc>
                <w:tcPr>
                  <w:tcW w:type="dxa" w:w="18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参数</w:t>
                  </w:r>
                </w:p>
              </w:tc>
              <w:tc>
                <w:tcPr>
                  <w:tcW w:type="dxa" w:w="2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单位</w:t>
                  </w:r>
                </w:p>
              </w:tc>
              <w:tc>
                <w:tcPr>
                  <w:tcW w:type="dxa" w:w="2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数量</w:t>
                  </w:r>
                </w:p>
              </w:tc>
            </w:tr>
            <w:tr>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智慧黑板</w:t>
                  </w:r>
                </w:p>
              </w:tc>
              <w:tc>
                <w:tcPr>
                  <w:tcW w:type="dxa" w:w="1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一、整机设计</w:t>
                  </w:r>
                </w:p>
                <w:p>
                  <w:pPr>
                    <w:pStyle w:val="null3"/>
                    <w:jc w:val="both"/>
                  </w:pPr>
                  <w:r>
                    <w:rPr>
                      <w:rFonts w:ascii="仿宋_GB2312" w:hAnsi="仿宋_GB2312" w:cs="仿宋_GB2312" w:eastAsia="仿宋_GB2312"/>
                      <w:sz w:val="20"/>
                    </w:rPr>
                    <w:t>1.设备采用全金属外壳，三拼接平面一体化设计，屏幕边缘采用圆角包边防护，整机背板采用金属材质，整体尺寸：宽≥4200mm，高≥1200mm。</w:t>
                  </w:r>
                </w:p>
                <w:p>
                  <w:pPr>
                    <w:pStyle w:val="null3"/>
                    <w:jc w:val="both"/>
                  </w:pPr>
                  <w:r>
                    <w:rPr>
                      <w:rFonts w:ascii="仿宋_GB2312" w:hAnsi="仿宋_GB2312" w:cs="仿宋_GB2312" w:eastAsia="仿宋_GB2312"/>
                      <w:sz w:val="20"/>
                    </w:rPr>
                    <w:t>2.设备采用86寸超高清LED液晶显示屏，显示比例16:9，分辨率3840×2160。整机中间主屏及两侧副屏支持多种媒介进行板书书写。</w:t>
                  </w:r>
                </w:p>
                <w:p>
                  <w:pPr>
                    <w:pStyle w:val="null3"/>
                    <w:jc w:val="both"/>
                  </w:pPr>
                  <w:r>
                    <w:rPr>
                      <w:rFonts w:ascii="仿宋_GB2312" w:hAnsi="仿宋_GB2312" w:cs="仿宋_GB2312" w:eastAsia="仿宋_GB2312"/>
                      <w:sz w:val="20"/>
                    </w:rPr>
                    <w:t>3.支持在进行</w:t>
                  </w:r>
                  <w:r>
                    <w:rPr>
                      <w:rFonts w:ascii="仿宋_GB2312" w:hAnsi="仿宋_GB2312" w:cs="仿宋_GB2312" w:eastAsia="仿宋_GB2312"/>
                      <w:sz w:val="20"/>
                    </w:rPr>
                    <w:t>≥4</w:t>
                  </w:r>
                  <w:r>
                    <w:rPr>
                      <w:rFonts w:ascii="仿宋_GB2312" w:hAnsi="仿宋_GB2312" w:cs="仿宋_GB2312" w:eastAsia="仿宋_GB2312"/>
                      <w:sz w:val="20"/>
                    </w:rPr>
                    <w:t>0点或以上触控。</w:t>
                  </w:r>
                </w:p>
                <w:p>
                  <w:pPr>
                    <w:pStyle w:val="null3"/>
                    <w:jc w:val="both"/>
                  </w:pPr>
                  <w:r>
                    <w:rPr>
                      <w:rFonts w:ascii="仿宋_GB2312" w:hAnsi="仿宋_GB2312" w:cs="仿宋_GB2312" w:eastAsia="仿宋_GB2312"/>
                      <w:sz w:val="20"/>
                    </w:rPr>
                    <w:t>4.屏幕显示灰度分辨等级达到256灰阶或以上。</w:t>
                  </w:r>
                </w:p>
                <w:p>
                  <w:pPr>
                    <w:pStyle w:val="null3"/>
                    <w:jc w:val="both"/>
                  </w:pPr>
                  <w:r>
                    <w:rPr>
                      <w:rFonts w:ascii="仿宋_GB2312" w:hAnsi="仿宋_GB2312" w:cs="仿宋_GB2312" w:eastAsia="仿宋_GB2312"/>
                      <w:sz w:val="20"/>
                    </w:rPr>
                    <w:t>二、音视频系统</w:t>
                  </w:r>
                </w:p>
                <w:p>
                  <w:pPr>
                    <w:pStyle w:val="null3"/>
                    <w:jc w:val="both"/>
                  </w:pPr>
                  <w:r>
                    <w:rPr>
                      <w:rFonts w:ascii="仿宋_GB2312" w:hAnsi="仿宋_GB2312" w:cs="仿宋_GB2312" w:eastAsia="仿宋_GB2312"/>
                      <w:sz w:val="20"/>
                    </w:rPr>
                    <w:t>▲5.设备内置2.2声道扬声器。（提供相应的功能证明材料包括但不限于测试报告、官网和功能截图等）</w:t>
                  </w:r>
                </w:p>
                <w:p>
                  <w:pPr>
                    <w:pStyle w:val="null3"/>
                    <w:jc w:val="both"/>
                  </w:pPr>
                  <w:r>
                    <w:rPr>
                      <w:rFonts w:ascii="仿宋_GB2312" w:hAnsi="仿宋_GB2312" w:cs="仿宋_GB2312" w:eastAsia="仿宋_GB2312"/>
                      <w:sz w:val="20"/>
                    </w:rPr>
                    <w:t>6.设备可设置高级音效，可在左右声道平衡显示范围中更改；中低频段调节范围125Hz～1KHz，高频段调节范围 2KHz～16KHz，。</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7</w:t>
                  </w:r>
                  <w:r>
                    <w:rPr>
                      <w:rFonts w:ascii="仿宋_GB2312" w:hAnsi="仿宋_GB2312" w:cs="仿宋_GB2312" w:eastAsia="仿宋_GB2312"/>
                      <w:sz w:val="20"/>
                    </w:rPr>
                    <w:t>.设备支持标准、听力、空间感知等音效模式。（提供相应的功能证明材料包括但不限于测试报告、官网和功能截图等）</w:t>
                  </w:r>
                </w:p>
                <w:p>
                  <w:pPr>
                    <w:pStyle w:val="null3"/>
                    <w:jc w:val="both"/>
                  </w:pPr>
                  <w:r>
                    <w:rPr>
                      <w:rFonts w:ascii="仿宋_GB2312" w:hAnsi="仿宋_GB2312" w:cs="仿宋_GB2312" w:eastAsia="仿宋_GB2312"/>
                      <w:sz w:val="20"/>
                    </w:rPr>
                    <w:t>8</w:t>
                  </w:r>
                  <w:r>
                    <w:rPr>
                      <w:rFonts w:ascii="仿宋_GB2312" w:hAnsi="仿宋_GB2312" w:cs="仿宋_GB2312" w:eastAsia="仿宋_GB2312"/>
                      <w:sz w:val="20"/>
                    </w:rPr>
                    <w:t>.设备内置非独立外扩展的阵列麦克风，拾音角度≥180°，拾音距离≥10m。</w:t>
                  </w:r>
                </w:p>
                <w:p>
                  <w:pPr>
                    <w:pStyle w:val="null3"/>
                    <w:jc w:val="both"/>
                  </w:pPr>
                  <w:r>
                    <w:rPr>
                      <w:rFonts w:ascii="仿宋_GB2312" w:hAnsi="仿宋_GB2312" w:cs="仿宋_GB2312" w:eastAsia="仿宋_GB2312"/>
                      <w:sz w:val="20"/>
                    </w:rPr>
                    <w:t>9</w:t>
                  </w:r>
                  <w:r>
                    <w:rPr>
                      <w:rFonts w:ascii="仿宋_GB2312" w:hAnsi="仿宋_GB2312" w:cs="仿宋_GB2312" w:eastAsia="仿宋_GB2312"/>
                      <w:sz w:val="20"/>
                    </w:rPr>
                    <w:t>.支持自定义图像设置，可对屏幕色温、图像亮度、亮度范围、对比度等进行设置。</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10</w:t>
                  </w:r>
                  <w:r>
                    <w:rPr>
                      <w:rFonts w:ascii="仿宋_GB2312" w:hAnsi="仿宋_GB2312" w:cs="仿宋_GB2312" w:eastAsia="仿宋_GB2312"/>
                      <w:sz w:val="20"/>
                    </w:rPr>
                    <w:t>.屏幕背光采用DC调光方式，系统支持多级亮度调节</w:t>
                  </w:r>
                  <w:r>
                    <w:rPr>
                      <w:rFonts w:ascii="仿宋_GB2312" w:hAnsi="仿宋_GB2312" w:cs="仿宋_GB2312" w:eastAsia="仿宋_GB2312"/>
                      <w:sz w:val="20"/>
                    </w:rPr>
                    <w:t>。</w:t>
                  </w:r>
                  <w:r>
                    <w:rPr>
                      <w:rFonts w:ascii="仿宋_GB2312" w:hAnsi="仿宋_GB2312" w:cs="仿宋_GB2312" w:eastAsia="仿宋_GB2312"/>
                      <w:sz w:val="20"/>
                    </w:rPr>
                    <w:t>（提供相应的功能证明材料包括但不限于测试报告、官网和功能截图等）</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1</w:t>
                  </w:r>
                  <w:r>
                    <w:rPr>
                      <w:rFonts w:ascii="仿宋_GB2312" w:hAnsi="仿宋_GB2312" w:cs="仿宋_GB2312" w:eastAsia="仿宋_GB2312"/>
                      <w:sz w:val="20"/>
                    </w:rPr>
                    <w:t>.可根据屏幕内容自动调节画质参数（提供相应的功能证明材料包括但不限于测试报告、官网和功能截图等）</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2</w:t>
                  </w:r>
                  <w:r>
                    <w:rPr>
                      <w:rFonts w:ascii="仿宋_GB2312" w:hAnsi="仿宋_GB2312" w:cs="仿宋_GB2312" w:eastAsia="仿宋_GB2312"/>
                      <w:sz w:val="20"/>
                    </w:rPr>
                    <w:t>.设备采用硬件低蓝光背光技术。</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3</w:t>
                  </w:r>
                  <w:r>
                    <w:rPr>
                      <w:rFonts w:ascii="仿宋_GB2312" w:hAnsi="仿宋_GB2312" w:cs="仿宋_GB2312" w:eastAsia="仿宋_GB2312"/>
                      <w:sz w:val="20"/>
                    </w:rPr>
                    <w:t>.设备支持设置类纸质护眼显示</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4</w:t>
                  </w:r>
                  <w:r>
                    <w:rPr>
                      <w:rFonts w:ascii="仿宋_GB2312" w:hAnsi="仿宋_GB2312" w:cs="仿宋_GB2312" w:eastAsia="仿宋_GB2312"/>
                      <w:sz w:val="20"/>
                    </w:rPr>
                    <w:t>.支持智能书写功能，书写文字自动识别为标准印刷体，支持图形识别功能，可将多种手绘图形转化为矩形、三角形、圆形等标准图形。（提供相应的功能证明材料包括但不限于测试报告、官网和功能截图等）</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三、整机功能</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5</w:t>
                  </w:r>
                  <w:r>
                    <w:rPr>
                      <w:rFonts w:ascii="仿宋_GB2312" w:hAnsi="仿宋_GB2312" w:cs="仿宋_GB2312" w:eastAsia="仿宋_GB2312"/>
                      <w:sz w:val="20"/>
                    </w:rPr>
                    <w:t>.设备内置非独立摄像头，采用一体化集成设计，视场角≥140度，可拍摄生成≥4800万像素的照片。</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6</w:t>
                  </w:r>
                  <w:r>
                    <w:rPr>
                      <w:rFonts w:ascii="仿宋_GB2312" w:hAnsi="仿宋_GB2312" w:cs="仿宋_GB2312" w:eastAsia="仿宋_GB2312"/>
                      <w:sz w:val="20"/>
                    </w:rPr>
                    <w:t>.内置摄像头支持 3D 降噪算法和数字宽动态范围成像WDR 技术，支持输出 MJPG、 H.264 视频格式。提供生产厂家出具的、相应的功能证明材料</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7</w:t>
                  </w:r>
                  <w:r>
                    <w:rPr>
                      <w:rFonts w:ascii="仿宋_GB2312" w:hAnsi="仿宋_GB2312" w:cs="仿宋_GB2312" w:eastAsia="仿宋_GB2312"/>
                      <w:sz w:val="20"/>
                    </w:rPr>
                    <w:t>.摄像头支持环境光自适应。（提供相应的功能证明材料包括但不限于测试报告、官网和功能截图等）</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8</w:t>
                  </w:r>
                  <w:r>
                    <w:rPr>
                      <w:rFonts w:ascii="仿宋_GB2312" w:hAnsi="仿宋_GB2312" w:cs="仿宋_GB2312" w:eastAsia="仿宋_GB2312"/>
                      <w:sz w:val="20"/>
                    </w:rPr>
                    <w:t>.设备支持提笔书写，当检测到笔尖接触屏幕时，自动进入书写模式。</w:t>
                  </w:r>
                </w:p>
                <w:p>
                  <w:pPr>
                    <w:pStyle w:val="null3"/>
                    <w:jc w:val="both"/>
                  </w:pPr>
                  <w:r>
                    <w:rPr>
                      <w:rFonts w:ascii="仿宋_GB2312" w:hAnsi="仿宋_GB2312" w:cs="仿宋_GB2312" w:eastAsia="仿宋_GB2312"/>
                      <w:sz w:val="20"/>
                    </w:rPr>
                    <w:t>19</w:t>
                  </w:r>
                  <w:r>
                    <w:rPr>
                      <w:rFonts w:ascii="仿宋_GB2312" w:hAnsi="仿宋_GB2312" w:cs="仿宋_GB2312" w:eastAsia="仿宋_GB2312"/>
                      <w:sz w:val="20"/>
                    </w:rPr>
                    <w:t>.设备触摸支持动态压力感应，支持无电子功能的书写笔书写或点压时，屏幕能感应压力变化，书写或点压过程的笔迹呈现粗细变化。</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0</w:t>
                  </w:r>
                  <w:r>
                    <w:rPr>
                      <w:rFonts w:ascii="仿宋_GB2312" w:hAnsi="仿宋_GB2312" w:cs="仿宋_GB2312" w:eastAsia="仿宋_GB2312"/>
                      <w:sz w:val="20"/>
                    </w:rPr>
                    <w:t>.设备内置双WiFi6无线网卡，支持蓝牙Bluetooth 5.4标准。</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1</w:t>
                  </w:r>
                  <w:r>
                    <w:rPr>
                      <w:rFonts w:ascii="仿宋_GB2312" w:hAnsi="仿宋_GB2312" w:cs="仿宋_GB2312" w:eastAsia="仿宋_GB2312"/>
                      <w:sz w:val="20"/>
                    </w:rPr>
                    <w:t>.手机投屏支持智能手机与整机无需在同一局域网内，可实现配对，一键投屏，无需输入投屏码或扫码获取投屏码。</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2</w:t>
                  </w:r>
                  <w:r>
                    <w:rPr>
                      <w:rFonts w:ascii="仿宋_GB2312" w:hAnsi="仿宋_GB2312" w:cs="仿宋_GB2312" w:eastAsia="仿宋_GB2312"/>
                      <w:sz w:val="20"/>
                    </w:rPr>
                    <w:t>.设备关机状态下，长按电源键进入菜单，可点击屏幕选择故障检测、系统还原功能，系统还原可单独还原PC系统或单独还原设备整机系统。</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3</w:t>
                  </w:r>
                  <w:r>
                    <w:rPr>
                      <w:rFonts w:ascii="仿宋_GB2312" w:hAnsi="仿宋_GB2312" w:cs="仿宋_GB2312" w:eastAsia="仿宋_GB2312"/>
                      <w:sz w:val="20"/>
                    </w:rPr>
                    <w:t>.设备可以展示学校名称、班级、场地信息等内容。</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4</w:t>
                  </w:r>
                  <w:r>
                    <w:rPr>
                      <w:rFonts w:ascii="仿宋_GB2312" w:hAnsi="仿宋_GB2312" w:cs="仿宋_GB2312" w:eastAsia="仿宋_GB2312"/>
                      <w:sz w:val="20"/>
                    </w:rPr>
                    <w:t>.设备支持调取软键盘。</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5</w:t>
                  </w:r>
                  <w:r>
                    <w:rPr>
                      <w:rFonts w:ascii="仿宋_GB2312" w:hAnsi="仿宋_GB2312" w:cs="仿宋_GB2312" w:eastAsia="仿宋_GB2312"/>
                      <w:sz w:val="20"/>
                    </w:rPr>
                    <w:t>.设备开机后，可直接进入教学桌面，设置账号的登录及退出，自动获取云端课件，并可进入全部课件列表</w:t>
                  </w:r>
                </w:p>
                <w:p>
                  <w:pPr>
                    <w:pStyle w:val="null3"/>
                    <w:jc w:val="both"/>
                  </w:pPr>
                  <w:r>
                    <w:rPr>
                      <w:rFonts w:ascii="仿宋_GB2312" w:hAnsi="仿宋_GB2312" w:cs="仿宋_GB2312" w:eastAsia="仿宋_GB2312"/>
                      <w:sz w:val="20"/>
                    </w:rPr>
                    <w:t>26</w:t>
                  </w:r>
                  <w:r>
                    <w:rPr>
                      <w:rFonts w:ascii="仿宋_GB2312" w:hAnsi="仿宋_GB2312" w:cs="仿宋_GB2312" w:eastAsia="仿宋_GB2312"/>
                      <w:sz w:val="20"/>
                    </w:rPr>
                    <w:t>.整机CPU芯片，WIFI与蓝牙芯片、摄像头图像处理芯片、均采用国产自主芯片。提供相应的功能证明材料（包括但不限于测试报告、官网和功能截图等）</w:t>
                  </w:r>
                </w:p>
                <w:p>
                  <w:pPr>
                    <w:pStyle w:val="null3"/>
                    <w:jc w:val="both"/>
                  </w:pPr>
                  <w:r>
                    <w:rPr>
                      <w:rFonts w:ascii="仿宋_GB2312" w:hAnsi="仿宋_GB2312" w:cs="仿宋_GB2312" w:eastAsia="仿宋_GB2312"/>
                      <w:sz w:val="20"/>
                    </w:rPr>
                    <w:t>五、电脑配置</w:t>
                  </w:r>
                </w:p>
                <w:p>
                  <w:pPr>
                    <w:pStyle w:val="null3"/>
                    <w:jc w:val="both"/>
                  </w:pPr>
                  <w:r>
                    <w:rPr>
                      <w:rFonts w:ascii="仿宋_GB2312" w:hAnsi="仿宋_GB2312" w:cs="仿宋_GB2312" w:eastAsia="仿宋_GB2312"/>
                      <w:sz w:val="20"/>
                    </w:rPr>
                    <w:t>27</w:t>
                  </w:r>
                  <w:r>
                    <w:rPr>
                      <w:rFonts w:ascii="仿宋_GB2312" w:hAnsi="仿宋_GB2312" w:cs="仿宋_GB2312" w:eastAsia="仿宋_GB2312"/>
                      <w:sz w:val="20"/>
                    </w:rPr>
                    <w:t>.采用抽拉内置式模块化电脑，抽拉内置式，PC模块可插入整机，可实现无单独接线的插拔。</w:t>
                  </w:r>
                </w:p>
                <w:p>
                  <w:pPr>
                    <w:pStyle w:val="null3"/>
                    <w:jc w:val="both"/>
                  </w:pPr>
                  <w:r>
                    <w:rPr>
                      <w:rFonts w:ascii="仿宋_GB2312" w:hAnsi="仿宋_GB2312" w:cs="仿宋_GB2312" w:eastAsia="仿宋_GB2312"/>
                      <w:sz w:val="20"/>
                    </w:rPr>
                    <w:t>28</w:t>
                  </w:r>
                  <w:r>
                    <w:rPr>
                      <w:rFonts w:ascii="仿宋_GB2312" w:hAnsi="仿宋_GB2312" w:cs="仿宋_GB2312" w:eastAsia="仿宋_GB2312"/>
                      <w:sz w:val="20"/>
                    </w:rPr>
                    <w:t>.CPU</w:t>
                  </w:r>
                  <w:r>
                    <w:rPr>
                      <w:rFonts w:ascii="仿宋_GB2312" w:hAnsi="仿宋_GB2312" w:cs="仿宋_GB2312" w:eastAsia="仿宋_GB2312"/>
                      <w:sz w:val="20"/>
                    </w:rPr>
                    <w:t>≥8核，12线程，主频≥</w:t>
                  </w:r>
                  <w:r>
                    <w:rPr>
                      <w:rFonts w:ascii="仿宋_GB2312" w:hAnsi="仿宋_GB2312" w:cs="仿宋_GB2312" w:eastAsia="仿宋_GB2312"/>
                      <w:sz w:val="20"/>
                    </w:rPr>
                    <w:t>2.5GHz。内存：</w:t>
                  </w:r>
                  <w:r>
                    <w:rPr>
                      <w:rFonts w:ascii="仿宋_GB2312" w:hAnsi="仿宋_GB2312" w:cs="仿宋_GB2312" w:eastAsia="仿宋_GB2312"/>
                      <w:sz w:val="20"/>
                    </w:rPr>
                    <w:t>≥</w:t>
                  </w:r>
                  <w:r>
                    <w:rPr>
                      <w:rFonts w:ascii="仿宋_GB2312" w:hAnsi="仿宋_GB2312" w:cs="仿宋_GB2312" w:eastAsia="仿宋_GB2312"/>
                      <w:sz w:val="20"/>
                    </w:rPr>
                    <w:t>8GB DDR4。硬盘：</w:t>
                  </w:r>
                  <w:r>
                    <w:rPr>
                      <w:rFonts w:ascii="仿宋_GB2312" w:hAnsi="仿宋_GB2312" w:cs="仿宋_GB2312" w:eastAsia="仿宋_GB2312"/>
                      <w:sz w:val="20"/>
                    </w:rPr>
                    <w:t>≥</w:t>
                  </w:r>
                  <w:r>
                    <w:rPr>
                      <w:rFonts w:ascii="仿宋_GB2312" w:hAnsi="仿宋_GB2312" w:cs="仿宋_GB2312" w:eastAsia="仿宋_GB2312"/>
                      <w:sz w:val="20"/>
                    </w:rPr>
                    <w:t>256 GB SSD。</w:t>
                  </w:r>
                </w:p>
                <w:p>
                  <w:pPr>
                    <w:pStyle w:val="null3"/>
                    <w:jc w:val="both"/>
                  </w:pPr>
                  <w:r>
                    <w:rPr>
                      <w:rFonts w:ascii="仿宋_GB2312" w:hAnsi="仿宋_GB2312" w:cs="仿宋_GB2312" w:eastAsia="仿宋_GB2312"/>
                      <w:sz w:val="20"/>
                    </w:rPr>
                    <w:t>六、白板软件</w:t>
                  </w:r>
                </w:p>
                <w:p>
                  <w:pPr>
                    <w:pStyle w:val="null3"/>
                    <w:jc w:val="both"/>
                  </w:pPr>
                  <w:r>
                    <w:rPr>
                      <w:rFonts w:ascii="仿宋_GB2312" w:hAnsi="仿宋_GB2312" w:cs="仿宋_GB2312" w:eastAsia="仿宋_GB2312"/>
                      <w:sz w:val="20"/>
                    </w:rPr>
                    <w:t>1.备授课一体化，具有备课模式及授课模式，且操作界面根据备课和授课使用场景不同而区别设计。</w:t>
                  </w:r>
                </w:p>
                <w:p>
                  <w:pPr>
                    <w:pStyle w:val="null3"/>
                    <w:jc w:val="both"/>
                  </w:pPr>
                  <w:r>
                    <w:rPr>
                      <w:rFonts w:ascii="仿宋_GB2312" w:hAnsi="仿宋_GB2312" w:cs="仿宋_GB2312" w:eastAsia="仿宋_GB2312"/>
                      <w:sz w:val="20"/>
                    </w:rPr>
                    <w:t>2.为全体教师配备个人账号；根据教师账号信息将教师云空间匹配至对应学校、学科校本资源库。</w:t>
                  </w:r>
                </w:p>
                <w:p>
                  <w:pPr>
                    <w:pStyle w:val="null3"/>
                    <w:jc w:val="both"/>
                  </w:pPr>
                  <w:r>
                    <w:rPr>
                      <w:rFonts w:ascii="仿宋_GB2312" w:hAnsi="仿宋_GB2312" w:cs="仿宋_GB2312" w:eastAsia="仿宋_GB2312"/>
                      <w:sz w:val="20"/>
                    </w:rPr>
                    <w:t>3.支持通过数字账号、微信二维码、硬件密钥</w:t>
                  </w:r>
                  <w:r>
                    <w:rPr>
                      <w:rFonts w:ascii="仿宋_GB2312" w:hAnsi="仿宋_GB2312" w:cs="仿宋_GB2312" w:eastAsia="仿宋_GB2312"/>
                      <w:sz w:val="20"/>
                    </w:rPr>
                    <w:t>等方式</w:t>
                  </w:r>
                  <w:r>
                    <w:rPr>
                      <w:rFonts w:ascii="仿宋_GB2312" w:hAnsi="仿宋_GB2312" w:cs="仿宋_GB2312" w:eastAsia="仿宋_GB2312"/>
                      <w:sz w:val="20"/>
                    </w:rPr>
                    <w:t>方式登录教师个人账号。</w:t>
                  </w:r>
                </w:p>
                <w:p>
                  <w:pPr>
                    <w:pStyle w:val="null3"/>
                    <w:jc w:val="both"/>
                  </w:pPr>
                  <w:r>
                    <w:rPr>
                      <w:rFonts w:ascii="仿宋_GB2312" w:hAnsi="仿宋_GB2312" w:cs="仿宋_GB2312" w:eastAsia="仿宋_GB2312"/>
                      <w:sz w:val="20"/>
                    </w:rPr>
                    <w:t>4▲.为教师师提供可扩展的云存储空间，根据教师使用时长与教学资料制作频率提供可扩展升级至不小于4TB的个人云空间。（提供相应的功能证明材料包括但不限于测试报告、官网和功能截图等）</w:t>
                  </w:r>
                </w:p>
                <w:p>
                  <w:pPr>
                    <w:pStyle w:val="null3"/>
                    <w:jc w:val="both"/>
                  </w:pPr>
                  <w:r>
                    <w:rPr>
                      <w:rFonts w:ascii="仿宋_GB2312" w:hAnsi="仿宋_GB2312" w:cs="仿宋_GB2312" w:eastAsia="仿宋_GB2312"/>
                      <w:sz w:val="20"/>
                    </w:rPr>
                    <w:t>5.可在备课平台直接编写教案，教案为云端存储，支持文本、图片、视频、公式的插入。可将教案关联至教师课件，支持课件同时关联多份教案，关联后教师可在备课界面调用查看教案，便于教研工作开展。</w:t>
                  </w:r>
                </w:p>
                <w:p>
                  <w:pPr>
                    <w:pStyle w:val="null3"/>
                    <w:jc w:val="both"/>
                  </w:pPr>
                  <w:r>
                    <w:rPr>
                      <w:rFonts w:ascii="仿宋_GB2312" w:hAnsi="仿宋_GB2312" w:cs="仿宋_GB2312" w:eastAsia="仿宋_GB2312"/>
                      <w:sz w:val="20"/>
                    </w:rPr>
                    <w:t>6.具备集体备课功能，支持上传教案、课件等资源发起集体备课研讨，除本校老师可参与外，还可通过手机号邀请外校老师，方便跨校教研场景。</w:t>
                  </w:r>
                </w:p>
                <w:p>
                  <w:pPr>
                    <w:pStyle w:val="null3"/>
                    <w:jc w:val="both"/>
                  </w:pPr>
                  <w:r>
                    <w:rPr>
                      <w:rFonts w:ascii="仿宋_GB2312" w:hAnsi="仿宋_GB2312" w:cs="仿宋_GB2312" w:eastAsia="仿宋_GB2312"/>
                      <w:sz w:val="20"/>
                    </w:rPr>
                    <w:t>7.▲集体备课的参备人可发表观点，评论实时提醒，对教案可进行批注，完成研讨后，可生成集体备课报告，参备人可查看并下载报告。（提供相应的功能证明材料包括但不限于测试报告、官网和功能截图等）</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8.研讨发起人在研讨过程中可发起在线视频在线研讨，构建线上同步研讨，研讨内容自动形成视频记录，可以自动生成视频回放字幕，对研讨的关键词和对话进行提炼。</w:t>
                  </w:r>
                </w:p>
                <w:p>
                  <w:pPr>
                    <w:pStyle w:val="null3"/>
                    <w:jc w:val="both"/>
                  </w:pPr>
                  <w:r>
                    <w:rPr>
                      <w:rFonts w:ascii="仿宋_GB2312" w:hAnsi="仿宋_GB2312" w:cs="仿宋_GB2312" w:eastAsia="仿宋_GB2312"/>
                      <w:sz w:val="20"/>
                    </w:rPr>
                    <w:t>9.支持提供在线课堂功能，可实现语音直播、课件同步、互动工具等远程教学功能。</w:t>
                  </w:r>
                </w:p>
                <w:p>
                  <w:pPr>
                    <w:pStyle w:val="null3"/>
                    <w:jc w:val="both"/>
                  </w:pPr>
                  <w:r>
                    <w:rPr>
                      <w:rFonts w:ascii="仿宋_GB2312" w:hAnsi="仿宋_GB2312" w:cs="仿宋_GB2312" w:eastAsia="仿宋_GB2312"/>
                      <w:sz w:val="20"/>
                    </w:rPr>
                    <w:t>10.提供教案模板方便老师编写教案，预置的模板包含表格式、提纲式、多课时式、单元设计式等不少于6种。</w:t>
                  </w:r>
                </w:p>
                <w:p>
                  <w:pPr>
                    <w:pStyle w:val="null3"/>
                    <w:jc w:val="both"/>
                  </w:pPr>
                  <w:r>
                    <w:rPr>
                      <w:rFonts w:ascii="仿宋_GB2312" w:hAnsi="仿宋_GB2312" w:cs="仿宋_GB2312" w:eastAsia="仿宋_GB2312"/>
                      <w:sz w:val="20"/>
                    </w:rPr>
                    <w:t>11.可一键为课件文本、图片、形状等对象添加蒙层将其隐藏，可通过橡皮擦工具擦除蒙层展现隐藏内容。</w:t>
                  </w:r>
                </w:p>
                <w:p>
                  <w:pPr>
                    <w:pStyle w:val="null3"/>
                    <w:jc w:val="both"/>
                  </w:pPr>
                  <w:r>
                    <w:rPr>
                      <w:rFonts w:ascii="仿宋_GB2312" w:hAnsi="仿宋_GB2312" w:cs="仿宋_GB2312" w:eastAsia="仿宋_GB2312"/>
                      <w:sz w:val="20"/>
                    </w:rPr>
                    <w:t>12.互动教学课件支持开放式云分享：分享者可将互动课件、课件组以公开或加密的web链接和二维码形式进行分享，分享链接可设置访问有效期。</w:t>
                  </w:r>
                </w:p>
                <w:p>
                  <w:pPr>
                    <w:pStyle w:val="null3"/>
                    <w:jc w:val="both"/>
                  </w:pPr>
                  <w:r>
                    <w:rPr>
                      <w:rFonts w:ascii="仿宋_GB2312" w:hAnsi="仿宋_GB2312" w:cs="仿宋_GB2312" w:eastAsia="仿宋_GB2312"/>
                      <w:sz w:val="20"/>
                    </w:rPr>
                    <w:t>七、学科工具</w:t>
                  </w:r>
                </w:p>
                <w:p>
                  <w:pPr>
                    <w:pStyle w:val="null3"/>
                    <w:jc w:val="both"/>
                  </w:pPr>
                  <w:r>
                    <w:rPr>
                      <w:rFonts w:ascii="仿宋_GB2312" w:hAnsi="仿宋_GB2312" w:cs="仿宋_GB2312" w:eastAsia="仿宋_GB2312"/>
                      <w:sz w:val="20"/>
                    </w:rPr>
                    <w:t>13.提供覆盖各学段的古诗词、古文教学资源</w:t>
                  </w:r>
                  <w:r>
                    <w:rPr>
                      <w:rFonts w:ascii="仿宋_GB2312" w:hAnsi="仿宋_GB2312" w:cs="仿宋_GB2312" w:eastAsia="仿宋_GB2312"/>
                      <w:sz w:val="20"/>
                    </w:rPr>
                    <w:t>不限于</w:t>
                  </w:r>
                  <w:r>
                    <w:rPr>
                      <w:rFonts w:ascii="仿宋_GB2312" w:hAnsi="仿宋_GB2312" w:cs="仿宋_GB2312" w:eastAsia="仿宋_GB2312"/>
                      <w:sz w:val="20"/>
                    </w:rPr>
                    <w:t>：原文、白话翻译、作者介绍、朗诵音频等。内嵌诗词百科链接，一键跳转展示诗词及作者详细背景介绍；全部古诗词资源按照年级学段、朝代、诗人进行精细分类，支持教师直接搜索诗词、古文名称或作者名称进行查找。</w:t>
                  </w:r>
                </w:p>
                <w:p>
                  <w:pPr>
                    <w:pStyle w:val="null3"/>
                    <w:jc w:val="both"/>
                  </w:pPr>
                  <w:r>
                    <w:rPr>
                      <w:rFonts w:ascii="仿宋_GB2312" w:hAnsi="仿宋_GB2312" w:cs="仿宋_GB2312" w:eastAsia="仿宋_GB2312"/>
                      <w:sz w:val="20"/>
                    </w:rPr>
                    <w:t>14.软件内置英文智能语义分析模块，可对英文文本的拼写、句型、语法等进行错误检查，并可一键纠错。</w:t>
                  </w:r>
                </w:p>
                <w:p>
                  <w:pPr>
                    <w:pStyle w:val="null3"/>
                    <w:jc w:val="both"/>
                  </w:pPr>
                  <w:r>
                    <w:rPr>
                      <w:rFonts w:ascii="仿宋_GB2312" w:hAnsi="仿宋_GB2312" w:cs="仿宋_GB2312" w:eastAsia="仿宋_GB2312"/>
                      <w:sz w:val="20"/>
                    </w:rPr>
                    <w:t>15.支持浏览和插入国际音标表，可直接点击发音，支持整表和单个音标卡片插入。支持将字母、单词、句子转写为音标，并可插入到课件中形成文本。</w:t>
                  </w:r>
                </w:p>
                <w:p>
                  <w:pPr>
                    <w:pStyle w:val="null3"/>
                    <w:jc w:val="both"/>
                  </w:pPr>
                  <w:r>
                    <w:rPr>
                      <w:rFonts w:ascii="仿宋_GB2312" w:hAnsi="仿宋_GB2312" w:cs="仿宋_GB2312" w:eastAsia="仿宋_GB2312"/>
                      <w:sz w:val="20"/>
                    </w:rPr>
                    <w:t>16.提供三维立体星球模型，内含太阳系全览模型、行星模型、卫星模型，支持360°自由旋转、缩放。太阳系全览模型、行星、卫星使用模型嵌套设计，可从太阳系逐层定位至卫星；提供丰富的地理教学图集，可查看行星的详细数据信息。</w:t>
                  </w:r>
                </w:p>
                <w:p>
                  <w:pPr>
                    <w:pStyle w:val="null3"/>
                    <w:jc w:val="both"/>
                  </w:pPr>
                  <w:r>
                    <w:rPr>
                      <w:rFonts w:ascii="仿宋_GB2312" w:hAnsi="仿宋_GB2312" w:cs="仿宋_GB2312" w:eastAsia="仿宋_GB2312"/>
                      <w:sz w:val="20"/>
                    </w:rPr>
                    <w:t>17.提供至少</w:t>
                  </w:r>
                  <w:r>
                    <w:rPr>
                      <w:rFonts w:ascii="仿宋_GB2312" w:hAnsi="仿宋_GB2312" w:cs="仿宋_GB2312" w:eastAsia="仿宋_GB2312"/>
                      <w:sz w:val="20"/>
                    </w:rPr>
                    <w:t>70</w:t>
                  </w:r>
                  <w:r>
                    <w:rPr>
                      <w:rFonts w:ascii="仿宋_GB2312" w:hAnsi="仿宋_GB2312" w:cs="仿宋_GB2312" w:eastAsia="仿宋_GB2312"/>
                      <w:sz w:val="20"/>
                    </w:rPr>
                    <w:t>节党建微课视频，包含革命、建设、改革、复兴等篇章。微课内容可在线点播，也可下载至课件播放。视频支持关键帧打点标记，播放过程中可跳转至标记位置，同时支持对视频内容进行截图插入课件。</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r>
          </w:tbl>
          <w:p>
            <w:pPr>
              <w:pStyle w:val="null3"/>
            </w:pPr>
            <w:r>
              <w:rPr>
                <w:rFonts w:ascii="仿宋_GB2312" w:hAnsi="仿宋_GB2312" w:cs="仿宋_GB2312" w:eastAsia="仿宋_GB2312"/>
                <w:b/>
              </w:rPr>
              <w:t>四、服务要求</w:t>
            </w:r>
          </w:p>
          <w:p>
            <w:pPr>
              <w:pStyle w:val="null3"/>
              <w:ind w:firstLine="400"/>
            </w:pPr>
            <w:r>
              <w:rPr>
                <w:rFonts w:ascii="仿宋_GB2312" w:hAnsi="仿宋_GB2312" w:cs="仿宋_GB2312" w:eastAsia="仿宋_GB2312"/>
              </w:rPr>
              <w:t>按照合同约定时间，按甲方指定地点提供货物，配合验收工作，提供的货物有质量保证，提交货物实施过程中的所有资料，以便甲方日后管理和维护。</w:t>
            </w:r>
          </w:p>
          <w:p>
            <w:pPr>
              <w:pStyle w:val="null3"/>
            </w:pPr>
            <w:r>
              <w:rPr>
                <w:rFonts w:ascii="仿宋_GB2312" w:hAnsi="仿宋_GB2312" w:cs="仿宋_GB2312" w:eastAsia="仿宋_GB2312"/>
                <w:b/>
              </w:rPr>
              <w:t>五、商务要求</w:t>
            </w:r>
          </w:p>
          <w:p>
            <w:pPr>
              <w:pStyle w:val="null3"/>
              <w:ind w:firstLine="400"/>
            </w:pPr>
            <w:r>
              <w:rPr>
                <w:rFonts w:ascii="仿宋_GB2312" w:hAnsi="仿宋_GB2312" w:cs="仿宋_GB2312" w:eastAsia="仿宋_GB2312"/>
              </w:rPr>
              <w:t>一、交货期：自合同签订之日起</w:t>
            </w:r>
            <w:r>
              <w:rPr>
                <w:rFonts w:ascii="仿宋_GB2312" w:hAnsi="仿宋_GB2312" w:cs="仿宋_GB2312" w:eastAsia="仿宋_GB2312"/>
              </w:rPr>
              <w:t>15个日历日完成全部项目内容，并交付采购人验收合格。</w:t>
            </w:r>
          </w:p>
          <w:p>
            <w:pPr>
              <w:pStyle w:val="null3"/>
              <w:ind w:firstLine="400"/>
            </w:pPr>
            <w:r>
              <w:rPr>
                <w:rFonts w:ascii="仿宋_GB2312" w:hAnsi="仿宋_GB2312" w:cs="仿宋_GB2312" w:eastAsia="仿宋_GB2312"/>
              </w:rPr>
              <w:t>二、款项结算</w:t>
            </w:r>
          </w:p>
          <w:p>
            <w:pPr>
              <w:pStyle w:val="null3"/>
              <w:ind w:firstLine="400"/>
            </w:pPr>
            <w:r>
              <w:rPr>
                <w:rFonts w:ascii="仿宋_GB2312" w:hAnsi="仿宋_GB2312" w:cs="仿宋_GB2312" w:eastAsia="仿宋_GB2312"/>
              </w:rPr>
              <w:t>1、货物交付并由供应商安装调试完成，经采购人验收合格后，采购人向供应商支付合同价款的100%，付款前，供应商应向采购人提供等额合法有效发票（含税）。</w:t>
            </w:r>
          </w:p>
          <w:p>
            <w:pPr>
              <w:pStyle w:val="null3"/>
              <w:ind w:firstLine="400"/>
            </w:pPr>
            <w:r>
              <w:rPr>
                <w:rFonts w:ascii="仿宋_GB2312" w:hAnsi="仿宋_GB2312" w:cs="仿宋_GB2312" w:eastAsia="仿宋_GB2312"/>
              </w:rPr>
              <w:t>2、支付方式：银行转账。</w:t>
            </w:r>
          </w:p>
          <w:p>
            <w:pPr>
              <w:pStyle w:val="null3"/>
              <w:ind w:firstLine="400"/>
            </w:pPr>
            <w:r>
              <w:rPr>
                <w:rFonts w:ascii="仿宋_GB2312" w:hAnsi="仿宋_GB2312" w:cs="仿宋_GB2312" w:eastAsia="仿宋_GB2312"/>
              </w:rPr>
              <w:t>三</w:t>
            </w:r>
            <w:r>
              <w:rPr>
                <w:rFonts w:ascii="仿宋_GB2312" w:hAnsi="仿宋_GB2312" w:cs="仿宋_GB2312" w:eastAsia="仿宋_GB2312"/>
              </w:rPr>
              <w:t>、质量验收标准或规范</w:t>
            </w:r>
          </w:p>
          <w:p>
            <w:pPr>
              <w:pStyle w:val="null3"/>
              <w:ind w:firstLine="400"/>
            </w:pPr>
            <w:r>
              <w:rPr>
                <w:rFonts w:ascii="仿宋_GB2312" w:hAnsi="仿宋_GB2312" w:cs="仿宋_GB2312" w:eastAsia="仿宋_GB2312"/>
              </w:rPr>
              <w:t>符合现行的国家标准或国家行政部门颁布的法律法规、规章制度等。没有国家标准的，参考行业标准。</w:t>
            </w:r>
          </w:p>
          <w:p>
            <w:pPr>
              <w:pStyle w:val="null3"/>
            </w:pPr>
            <w:r>
              <w:rPr>
                <w:rFonts w:ascii="仿宋_GB2312" w:hAnsi="仿宋_GB2312" w:cs="仿宋_GB2312" w:eastAsia="仿宋_GB2312"/>
                <w:sz w:val="21"/>
              </w:rPr>
              <w:t xml:space="preserve">       四、质保期：一年</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自合同签订之日起15个日历日完成全部项目内容，并交付采购人验收合格。</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货物交付并由供应商安装调试完成，经采购人验收合格后，采购人向供应商支付合同价款的100%，付款前，供应商应向采购人提供等额合法有效发票（含税），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符合现行的国家标准或国家行政部门颁布的法律法规、规章制度等。没有国家标准的，参考行业标准。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一般与合同款项的支付相关，注意不要超出《民法典》中对于违约的责任上限。</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磋商会议结束后，成交单位须提供与上传电子版一致的一正一副两套纸质版响应文件。联系电话：18119311406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响应供应商需提供合法有效的统一社会信用代码营业执照。</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法定代表人参加投标的，须提供本人身份证加盖公章的复印件。 法定代表人授权他人参加投标的，须提供法定代表人授权委托书及被授权代表的身份证复印件。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响应供应商需提供2024年度或2025年度经审计的供应商财务审计报告或者开标前三个月内的银行资信证明或财政部门认可的政府采购专业担保机构出具的投标担保函；（以上三种形式的资料提供任何一种即可）注：提供财务报告的,必须为上传至注册会计师行业统一监管平台(http://acc.mof.gov.cn)并具有全国统一的二维码的财务报告。</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提供2025年12月至开标截止日前已缴纳的任意1个月的社会保障资金缴存单据或社保机构开具的社会保险参保缴费情况证明，依法不需要缴纳社会保障资金的单位应提供相关证明材料。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提供2025年12月至开标截止日前已缴纳的任意1个月的纳税证明或完税证明，依法免税的单位应提供相关证明材料。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履约能力</w:t>
            </w:r>
          </w:p>
        </w:tc>
        <w:tc>
          <w:tcPr>
            <w:tcW w:type="dxa" w:w="3322"/>
          </w:tcPr>
          <w:p>
            <w:pPr>
              <w:pStyle w:val="null3"/>
            </w:pPr>
            <w:r>
              <w:rPr>
                <w:rFonts w:ascii="仿宋_GB2312" w:hAnsi="仿宋_GB2312" w:cs="仿宋_GB2312" w:eastAsia="仿宋_GB2312"/>
              </w:rPr>
              <w:t>具备履行合同所必需的设备和专业技术能力的证明材料(由供应商根据项目需求提供说明材料或者承诺)。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企业信誉</w:t>
            </w:r>
          </w:p>
        </w:tc>
        <w:tc>
          <w:tcPr>
            <w:tcW w:type="dxa" w:w="3322"/>
          </w:tcPr>
          <w:p>
            <w:pPr>
              <w:pStyle w:val="null3"/>
            </w:pPr>
            <w:r>
              <w:rPr>
                <w:rFonts w:ascii="仿宋_GB2312" w:hAnsi="仿宋_GB2312" w:cs="仿宋_GB2312" w:eastAsia="仿宋_GB2312"/>
              </w:rPr>
              <w:t>参加本次政府采购活动前3年内在经营活动中没有重大违纪、未被列入失信被执行人、重大税收违法案件当事人名单、政府采购严重违法失信行为记录名单的书面声明。开标评审将登陆“信用中国”网站（www.creditchina.gov.cn）和“中国政府采购网”（www.ccgp.gov.cn）进行审查。</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单位负责人为同一人或者存在控股、管理关系的不同单位不得同时参加同一项目投标。</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响应文件上法定代表人（负责人）或其授权代表人的签字齐全并加盖公章</w:t>
            </w:r>
          </w:p>
        </w:tc>
        <w:tc>
          <w:tcPr>
            <w:tcW w:type="dxa" w:w="1661"/>
          </w:tcPr>
          <w:p>
            <w:pPr>
              <w:pStyle w:val="null3"/>
            </w:pPr>
            <w:r>
              <w:rPr>
                <w:rFonts w:ascii="仿宋_GB2312" w:hAnsi="仿宋_GB2312" w:cs="仿宋_GB2312" w:eastAsia="仿宋_GB2312"/>
              </w:rPr>
              <w:t>投标方案.docx 中小企业声明函 偏离表.docx 承诺书.docx 报价表 资格证明文件.docx 开标一览表及分项.docx 供应商概况.docx 响应文件封面 其他事项.docx 残疾人福利性单位声明函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响应文件格式、语言、计量单位、报价货币</w:t>
            </w:r>
          </w:p>
        </w:tc>
        <w:tc>
          <w:tcPr>
            <w:tcW w:type="dxa" w:w="3322"/>
          </w:tcPr>
          <w:p>
            <w:pPr>
              <w:pStyle w:val="null3"/>
            </w:pPr>
            <w:r>
              <w:rPr>
                <w:rFonts w:ascii="仿宋_GB2312" w:hAnsi="仿宋_GB2312" w:cs="仿宋_GB2312" w:eastAsia="仿宋_GB2312"/>
              </w:rPr>
              <w:t>应符合“响应文件格式”和磋商文件要求</w:t>
            </w:r>
          </w:p>
        </w:tc>
        <w:tc>
          <w:tcPr>
            <w:tcW w:type="dxa" w:w="1661"/>
          </w:tcPr>
          <w:p>
            <w:pPr>
              <w:pStyle w:val="null3"/>
            </w:pPr>
            <w:r>
              <w:rPr>
                <w:rFonts w:ascii="仿宋_GB2312" w:hAnsi="仿宋_GB2312" w:cs="仿宋_GB2312" w:eastAsia="仿宋_GB2312"/>
              </w:rPr>
              <w:t>投标方案.docx 中小企业声明函 偏离表.docx 承诺书.docx 报价表 资格证明文件.docx 开标一览表及分项.docx 供应商概况.docx 响应文件封面 其他事项.docx 残疾人福利性单位声明函 标的清单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w:t>
            </w:r>
          </w:p>
        </w:tc>
        <w:tc>
          <w:tcPr>
            <w:tcW w:type="dxa" w:w="1661"/>
          </w:tcPr>
          <w:p>
            <w:pPr>
              <w:pStyle w:val="null3"/>
            </w:pPr>
            <w:r>
              <w:rPr>
                <w:rFonts w:ascii="仿宋_GB2312" w:hAnsi="仿宋_GB2312" w:cs="仿宋_GB2312" w:eastAsia="仿宋_GB2312"/>
              </w:rPr>
              <w:t>标的清单 报价表 开标一览表及分项.docx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不能有任何采购人不能接受的附加条件</w:t>
            </w:r>
          </w:p>
        </w:tc>
        <w:tc>
          <w:tcPr>
            <w:tcW w:type="dxa" w:w="1661"/>
          </w:tcPr>
          <w:p>
            <w:pPr>
              <w:pStyle w:val="null3"/>
            </w:pPr>
            <w:r>
              <w:rPr>
                <w:rFonts w:ascii="仿宋_GB2312" w:hAnsi="仿宋_GB2312" w:cs="仿宋_GB2312" w:eastAsia="仿宋_GB2312"/>
              </w:rPr>
              <w:t>投标方案.docx 中小企业声明函 偏离表.docx 承诺书.docx 报价表 资格证明文件.docx 开标一览表及分项.docx 供应商概况.docx 响应文件封面 其他事项.docx 残疾人福利性单位声明函 标的清单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交货期限</w:t>
            </w:r>
          </w:p>
        </w:tc>
        <w:tc>
          <w:tcPr>
            <w:tcW w:type="dxa" w:w="3322"/>
          </w:tcPr>
          <w:p>
            <w:pPr>
              <w:pStyle w:val="null3"/>
            </w:pPr>
            <w:r>
              <w:rPr>
                <w:rFonts w:ascii="仿宋_GB2312" w:hAnsi="仿宋_GB2312" w:cs="仿宋_GB2312" w:eastAsia="仿宋_GB2312"/>
              </w:rPr>
              <w:t>应满足磋商文件中要求的交货期</w:t>
            </w:r>
          </w:p>
        </w:tc>
        <w:tc>
          <w:tcPr>
            <w:tcW w:type="dxa" w:w="1661"/>
          </w:tcPr>
          <w:p>
            <w:pPr>
              <w:pStyle w:val="null3"/>
            </w:pPr>
            <w:r>
              <w:rPr>
                <w:rFonts w:ascii="仿宋_GB2312" w:hAnsi="仿宋_GB2312" w:cs="仿宋_GB2312" w:eastAsia="仿宋_GB2312"/>
              </w:rPr>
              <w:t>标的清单 报价表 开标一览表及分项.docx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所投设备（产品）技术参数性能满足或优于招标文件要求，且稳定可靠，能够保证整体项目顺利实施，根据各投标人对其所投设备（产品）数量准确、规格进行描述，并提供生产厂家确认的、相应的功能证明材料（包括但不限于检测报告或测试报告或官网和功能截图等），描述无缺漏详细具体且证明材料完整的计15分，每负偏离一项“▲”指标扣2分，每负偏离一项非“▲”指标扣1分，扣完为止。(正偏离不加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针对本项目提供项目实施方案，方案应至少包括、1、应急方案，2、实施进度计划，3、安装调试方案，4、验收方案,5、项目运维方案，包含以上5个方面的得15分，每缺少一项的扣3分，每有一项存在内容缺陷扣1分，每项关于内容缺陷的最多扣3分，扣完为止。 （内容缺陷是指：非专门针对本项目或不适用项目特性的情形、内容不完整或缺少关键节点、内容前后矛盾、涉及的规范及标准错误、不利于项目实施、不可能实现的情形等任意一种情形。）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交货组织安排</w:t>
            </w:r>
          </w:p>
        </w:tc>
        <w:tc>
          <w:tcPr>
            <w:tcW w:type="dxa" w:w="2492"/>
          </w:tcPr>
          <w:p>
            <w:pPr>
              <w:pStyle w:val="null3"/>
            </w:pPr>
            <w:r>
              <w:rPr>
                <w:rFonts w:ascii="仿宋_GB2312" w:hAnsi="仿宋_GB2312" w:cs="仿宋_GB2312" w:eastAsia="仿宋_GB2312"/>
              </w:rPr>
              <w:t>投标人针对本项目有具体的交货组织安排，方案应至少包括:①详细的人员，②财力调配，③运输、派送措施，④安全运输措施，包含以上4个方面的得10分，每缺少一项的扣2.5分，每有一项存在内容缺陷扣0.5分，每项关于内容缺陷的最多扣2.5分，扣完为止。 （内容缺陷是指：非专门针对本项目或不适用项目特性的情形、内容不完整或缺少关键节点、内容前后矛盾、涉及的规范及标准错误、不利于项目实施、不可能实现的情形等任意一种情形。）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投标人针对本项目提供项目保障措施，应至少包括①项目管理措施、②质量控制措施、③与采购人的配合措施，包含以上3个方面的得9分，每缺少一项的扣3分，每有一项存在内容缺陷扣1分，每项关于内容缺陷的最多扣3分，扣完为止。 （内容缺陷是指：非专门针对本项目或不适用项目特性的情形、内容不完整或缺少关键节点、内容前后矛盾、涉及的规范及标准错误、不利于项目实施、不可能实现的情形等任意一种情形。）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根据投标人提供的培训方案进行评分，方案应至少包括:①培训内容、②培训计划、③培训人员，包含以上3个方面的得6分，每缺少一项的扣2分，每有一项存在内容缺陷扣1分，每项关于内容缺陷的最多扣2分，扣完为止。 （内容缺陷是指：非专门针对本项目或不适用项目特性的情形、内容不完整或缺少关键节点、内容前后矛盾、涉及的规范及标准错误、不利于项目实施、不可能实现的情形等任意一种情形。）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根据投标人提供的售后方案进行评分，方案应至少包括:①售后服务机构健全，能够提供本地化服务、②具有明确的承诺且符合实际需求，提供详细的售后服务方案及售后服务承诺等。包含以上2个方面的得5分，每缺少一项的扣2.5分，每有一项存在内容缺陷扣0.5分，每项关于内容缺陷的最多扣2.5分，扣完为止。 （内容缺陷是指：非专门针对本项目或不适用项目特性的情形、内容不完整或缺少关键节点、内容前后矛盾、涉及的规范及标准错误、不利于项目实施、不可能实现的情形等任意一种情形。）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提供供应商2023年6月至开标截止日前类似项目业绩，每提供1个有效业绩得2分，满分10分。（附完整合同复印件并加盖供应商公章，未提供或提供不完整或不清晰均不得分。）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开标一览表及分项.docx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 磋商报价得分=(磋商基准价／磋商报价)×30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详见附件：开标一览表及分项.docx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详见附件：供应商概况.docx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详见附件：偏离表.docx</w:t>
      </w:r>
    </w:p>
    <w:p>
      <w:pPr>
        <w:pStyle w:val="null3"/>
        <w:ind w:firstLine="960"/>
      </w:pPr>
      <w:r>
        <w:rPr>
          <w:rFonts w:ascii="仿宋_GB2312" w:hAnsi="仿宋_GB2312" w:cs="仿宋_GB2312" w:eastAsia="仿宋_GB2312"/>
        </w:rPr>
        <w:t>详见附件：其他事项.docx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