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5BC36">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3C75DC7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03C42652">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r>
        <w:rPr>
          <w:rFonts w:hint="eastAsia" w:cs="宋体"/>
          <w:b/>
          <w:bCs/>
          <w:color w:val="auto"/>
          <w:sz w:val="48"/>
          <w:szCs w:val="48"/>
          <w:highlight w:val="none"/>
          <w:lang w:eastAsia="zh-CN"/>
        </w:rPr>
        <w:t>“壹起分”绿色生活倡导计划项目</w:t>
      </w:r>
    </w:p>
    <w:p w14:paraId="1B531465">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p>
    <w:p w14:paraId="58DDFF8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bookmarkStart w:id="0" w:name="_Toc20701"/>
      <w:r>
        <w:rPr>
          <w:rFonts w:hint="eastAsia" w:cs="宋体"/>
          <w:b/>
          <w:bCs/>
          <w:color w:val="auto"/>
          <w:sz w:val="48"/>
          <w:szCs w:val="48"/>
          <w:highlight w:val="none"/>
          <w:lang w:eastAsia="zh-CN"/>
        </w:rPr>
        <w:t>(合同</w:t>
      </w:r>
      <w:r>
        <w:rPr>
          <w:rFonts w:hint="eastAsia" w:ascii="宋体" w:hAnsi="宋体" w:eastAsia="宋体" w:cs="宋体"/>
          <w:b/>
          <w:bCs/>
          <w:color w:val="auto"/>
          <w:sz w:val="48"/>
          <w:szCs w:val="48"/>
          <w:highlight w:val="none"/>
        </w:rPr>
        <w:t>示范文本</w:t>
      </w:r>
      <w:bookmarkEnd w:id="0"/>
      <w:r>
        <w:rPr>
          <w:rFonts w:hint="eastAsia" w:cs="宋体"/>
          <w:b/>
          <w:bCs/>
          <w:color w:val="auto"/>
          <w:sz w:val="48"/>
          <w:szCs w:val="48"/>
          <w:highlight w:val="none"/>
          <w:lang w:eastAsia="zh-CN"/>
        </w:rPr>
        <w:t>)</w:t>
      </w:r>
    </w:p>
    <w:p w14:paraId="51C57364">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52E9B4CD">
      <w:pPr>
        <w:pStyle w:val="2"/>
        <w:shd w:val="clear"/>
        <w:rPr>
          <w:rFonts w:hint="eastAsia" w:ascii="宋体" w:hAnsi="宋体" w:eastAsia="宋体" w:cs="宋体"/>
          <w:color w:val="auto"/>
          <w:highlight w:val="none"/>
        </w:rPr>
      </w:pPr>
    </w:p>
    <w:p w14:paraId="7476A3D8">
      <w:pPr>
        <w:pStyle w:val="2"/>
        <w:shd w:val="clear"/>
        <w:rPr>
          <w:rFonts w:hint="eastAsia" w:ascii="宋体" w:hAnsi="宋体" w:eastAsia="宋体" w:cs="宋体"/>
          <w:color w:val="auto"/>
          <w:highlight w:val="none"/>
        </w:rPr>
      </w:pPr>
    </w:p>
    <w:p w14:paraId="05F362AE">
      <w:pPr>
        <w:pStyle w:val="2"/>
        <w:shd w:val="clear"/>
        <w:rPr>
          <w:rFonts w:hint="eastAsia" w:ascii="宋体" w:hAnsi="宋体" w:eastAsia="宋体" w:cs="宋体"/>
          <w:color w:val="auto"/>
          <w:highlight w:val="none"/>
        </w:rPr>
      </w:pPr>
    </w:p>
    <w:p w14:paraId="5BD126C4">
      <w:pPr>
        <w:pStyle w:val="2"/>
        <w:shd w:val="clear"/>
        <w:rPr>
          <w:rFonts w:hint="eastAsia" w:ascii="宋体" w:hAnsi="宋体" w:eastAsia="宋体" w:cs="宋体"/>
          <w:color w:val="auto"/>
          <w:highlight w:val="none"/>
        </w:rPr>
      </w:pPr>
    </w:p>
    <w:p w14:paraId="46365C71">
      <w:pPr>
        <w:pStyle w:val="2"/>
        <w:shd w:val="clear"/>
        <w:rPr>
          <w:rFonts w:hint="eastAsia" w:ascii="宋体" w:hAnsi="宋体" w:eastAsia="宋体" w:cs="宋体"/>
          <w:color w:val="auto"/>
          <w:highlight w:val="none"/>
        </w:rPr>
      </w:pPr>
    </w:p>
    <w:p w14:paraId="04D2E48C">
      <w:pPr>
        <w:pStyle w:val="2"/>
        <w:shd w:val="clear"/>
        <w:rPr>
          <w:rFonts w:hint="eastAsia" w:ascii="宋体" w:hAnsi="宋体" w:eastAsia="宋体" w:cs="宋体"/>
          <w:color w:val="auto"/>
          <w:highlight w:val="none"/>
        </w:rPr>
      </w:pPr>
    </w:p>
    <w:p w14:paraId="29DA591F">
      <w:pPr>
        <w:pStyle w:val="2"/>
        <w:shd w:val="clear"/>
        <w:rPr>
          <w:rFonts w:hint="eastAsia" w:ascii="宋体" w:hAnsi="宋体" w:eastAsia="宋体" w:cs="宋体"/>
          <w:color w:val="auto"/>
          <w:highlight w:val="none"/>
        </w:rPr>
      </w:pPr>
    </w:p>
    <w:p w14:paraId="0316EFB4">
      <w:pPr>
        <w:pStyle w:val="2"/>
        <w:shd w:val="clear"/>
        <w:rPr>
          <w:rFonts w:hint="eastAsia" w:ascii="宋体" w:hAnsi="宋体" w:eastAsia="宋体" w:cs="宋体"/>
          <w:color w:val="auto"/>
          <w:highlight w:val="none"/>
        </w:rPr>
      </w:pPr>
    </w:p>
    <w:p w14:paraId="5BC898E4">
      <w:pPr>
        <w:rPr>
          <w:rFonts w:hint="eastAsia" w:ascii="宋体" w:hAnsi="宋体" w:eastAsia="宋体" w:cs="宋体"/>
          <w:color w:val="auto"/>
          <w:highlight w:val="none"/>
        </w:rPr>
      </w:pPr>
    </w:p>
    <w:p w14:paraId="3C44D8F1">
      <w:pPr>
        <w:rPr>
          <w:rFonts w:hint="eastAsia" w:ascii="宋体" w:hAnsi="宋体" w:eastAsia="宋体" w:cs="宋体"/>
          <w:color w:val="auto"/>
          <w:highlight w:val="none"/>
        </w:rPr>
      </w:pPr>
    </w:p>
    <w:p w14:paraId="600BD0BA">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01B0FB9C">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79F44BC0">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rPr>
        <w:t>甲方：</w:t>
      </w:r>
      <w:r>
        <w:rPr>
          <w:rFonts w:hint="eastAsia" w:cs="宋体"/>
          <w:b/>
          <w:bCs/>
          <w:color w:val="auto"/>
          <w:sz w:val="36"/>
          <w:szCs w:val="36"/>
          <w:highlight w:val="none"/>
          <w:u w:val="single"/>
          <w:lang w:val="en-US" w:eastAsia="zh-CN"/>
        </w:rPr>
        <w:t xml:space="preserve">                       </w:t>
      </w:r>
    </w:p>
    <w:p w14:paraId="3E92CEDF">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rPr>
      </w:pPr>
    </w:p>
    <w:p w14:paraId="53C34E21">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乙方：</w:t>
      </w:r>
      <w:r>
        <w:rPr>
          <w:rFonts w:hint="eastAsia" w:cs="宋体"/>
          <w:b/>
          <w:bCs/>
          <w:color w:val="auto"/>
          <w:sz w:val="36"/>
          <w:szCs w:val="36"/>
          <w:highlight w:val="none"/>
          <w:u w:val="single"/>
          <w:lang w:val="en-US" w:eastAsia="zh-CN"/>
        </w:rPr>
        <w:t xml:space="preserve">                       </w:t>
      </w:r>
    </w:p>
    <w:p w14:paraId="51E6CBA4">
      <w:pPr>
        <w:shd w:val="clea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A8812D7">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甲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p>
    <w:p w14:paraId="20C4CC8E">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乙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63DB2B2F">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07FBBF5F">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bookmarkStart w:id="1" w:name="_Toc3289"/>
      <w:bookmarkStart w:id="2" w:name="_Toc9604"/>
      <w:r>
        <w:rPr>
          <w:rFonts w:hint="eastAsia" w:ascii="宋体" w:hAnsi="宋体" w:eastAsia="宋体" w:cs="宋体"/>
          <w:b/>
          <w:color w:val="auto"/>
          <w:sz w:val="21"/>
          <w:szCs w:val="21"/>
          <w:highlight w:val="none"/>
        </w:rPr>
        <w:t>一</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项目概况</w:t>
      </w:r>
      <w:bookmarkEnd w:id="1"/>
      <w:bookmarkEnd w:id="2"/>
    </w:p>
    <w:p w14:paraId="5F05D361">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u w:val="single"/>
        </w:rPr>
        <w:t xml:space="preserve">                                        </w:t>
      </w:r>
    </w:p>
    <w:p w14:paraId="72257A86">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项目地点：</w:t>
      </w:r>
      <w:r>
        <w:rPr>
          <w:rFonts w:hint="eastAsia" w:ascii="宋体" w:hAnsi="宋体" w:eastAsia="宋体" w:cs="宋体"/>
          <w:color w:val="auto"/>
          <w:sz w:val="21"/>
          <w:szCs w:val="21"/>
          <w:highlight w:val="none"/>
          <w:u w:val="single"/>
        </w:rPr>
        <w:t xml:space="preserve">                                        </w:t>
      </w:r>
    </w:p>
    <w:p w14:paraId="1CD256D5">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bookmarkStart w:id="3" w:name="_Toc16118"/>
      <w:bookmarkStart w:id="4" w:name="_Toc12772"/>
      <w:r>
        <w:rPr>
          <w:rFonts w:hint="eastAsia" w:ascii="宋体" w:hAnsi="宋体" w:eastAsia="宋体" w:cs="宋体"/>
          <w:color w:val="auto"/>
          <w:sz w:val="21"/>
          <w:szCs w:val="21"/>
          <w:highlight w:val="none"/>
          <w:lang w:val="en-US" w:eastAsia="zh-CN"/>
        </w:rPr>
        <w:t>3、</w:t>
      </w:r>
      <w:r>
        <w:rPr>
          <w:rFonts w:hint="eastAsia" w:hAnsi="宋体" w:cs="宋体"/>
          <w:color w:val="auto"/>
          <w:sz w:val="21"/>
          <w:szCs w:val="21"/>
          <w:highlight w:val="none"/>
          <w:lang w:val="en-US" w:eastAsia="zh-CN"/>
        </w:rPr>
        <w:t>项目概况：</w:t>
      </w:r>
      <w:r>
        <w:rPr>
          <w:rFonts w:hint="eastAsia" w:ascii="宋体" w:hAnsi="宋体" w:eastAsia="宋体" w:cs="宋体"/>
          <w:color w:val="auto"/>
          <w:sz w:val="21"/>
          <w:szCs w:val="21"/>
          <w:highlight w:val="none"/>
          <w:u w:val="single"/>
        </w:rPr>
        <w:t xml:space="preserve">                                        </w:t>
      </w:r>
    </w:p>
    <w:p w14:paraId="74ACD447">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hAnsi="宋体" w:cs="宋体"/>
          <w:color w:val="auto"/>
          <w:sz w:val="21"/>
          <w:szCs w:val="21"/>
          <w:highlight w:val="none"/>
          <w:u w:val="none"/>
          <w:lang w:val="en-US" w:eastAsia="zh-CN"/>
        </w:rPr>
        <w:t>4、</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11597BDB">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组成本合同的文件</w:t>
      </w:r>
      <w:bookmarkEnd w:id="3"/>
      <w:bookmarkEnd w:id="4"/>
    </w:p>
    <w:p w14:paraId="3AA38AFA">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协议书；</w:t>
      </w:r>
    </w:p>
    <w:p w14:paraId="55BAFF7E">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中标通知书、投标文件、招标文件、澄清、招标补充文件；</w:t>
      </w:r>
    </w:p>
    <w:p w14:paraId="07CD117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相关服务建议书；</w:t>
      </w:r>
    </w:p>
    <w:p w14:paraId="7A131F7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bookmarkStart w:id="5" w:name="_Toc26662"/>
      <w:bookmarkStart w:id="6" w:name="_Toc1597"/>
      <w:r>
        <w:rPr>
          <w:rFonts w:hint="eastAsia" w:ascii="宋体" w:hAnsi="宋体" w:eastAsia="宋体" w:cs="宋体"/>
          <w:color w:val="auto"/>
          <w:sz w:val="21"/>
          <w:szCs w:val="21"/>
          <w:highlight w:val="none"/>
        </w:rPr>
        <w:t>本合同签订后，双方依法签订的补充协议也是本合同文件的组成部分。</w:t>
      </w:r>
    </w:p>
    <w:bookmarkEnd w:id="5"/>
    <w:bookmarkEnd w:id="6"/>
    <w:p w14:paraId="458F7957">
      <w:pPr>
        <w:pageBreakBefore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三、合同价款</w:t>
      </w:r>
    </w:p>
    <w:p w14:paraId="7D47329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合同形式：固定</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合同</w:t>
      </w:r>
    </w:p>
    <w:p w14:paraId="1B2BABB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总价</w:t>
      </w:r>
      <w:r>
        <w:rPr>
          <w:rFonts w:hint="eastAsia" w:ascii="宋体" w:hAnsi="宋体" w:eastAsia="宋体" w:cs="宋体"/>
          <w:bCs/>
          <w:color w:val="auto"/>
          <w:sz w:val="21"/>
          <w:szCs w:val="21"/>
          <w:highlight w:val="none"/>
        </w:rPr>
        <w:t>（大写）：</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（小写）</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kern w:val="0"/>
          <w:sz w:val="21"/>
          <w:szCs w:val="21"/>
          <w:highlight w:val="none"/>
        </w:rPr>
        <w:t>¥</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元</w:t>
      </w:r>
      <w:r>
        <w:rPr>
          <w:rFonts w:hint="eastAsia" w:ascii="宋体" w:hAnsi="宋体" w:eastAsia="宋体" w:cs="宋体"/>
          <w:bCs/>
          <w:color w:val="auto"/>
          <w:sz w:val="21"/>
          <w:szCs w:val="21"/>
          <w:highlight w:val="none"/>
          <w:lang w:eastAsia="zh-CN"/>
        </w:rPr>
        <w:t>。</w:t>
      </w:r>
    </w:p>
    <w:p w14:paraId="15B639F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为完成本项目所要求内容且验收合格的所有费用，供应商应在投标报价表中标明完成本次招标所要求内容且验收合格的所有费用,</w:t>
      </w:r>
      <w:r>
        <w:rPr>
          <w:rFonts w:hint="eastAsia" w:hAnsi="宋体" w:cs="宋体"/>
          <w:color w:val="auto"/>
          <w:sz w:val="21"/>
          <w:szCs w:val="21"/>
          <w:highlight w:val="none"/>
          <w:lang w:eastAsia="zh-CN"/>
        </w:rPr>
        <w:t>不限于包括但不限于</w:t>
      </w:r>
      <w:r>
        <w:rPr>
          <w:rFonts w:hint="eastAsia" w:cs="宋体"/>
          <w:color w:val="auto"/>
          <w:sz w:val="21"/>
          <w:szCs w:val="21"/>
          <w:highlight w:val="none"/>
          <w:lang w:eastAsia="zh-CN"/>
        </w:rPr>
        <w:t>维保费、宣传费、活动费、人工费、培训费</w:t>
      </w:r>
      <w:r>
        <w:rPr>
          <w:rFonts w:hint="eastAsia" w:hAnsi="宋体" w:cs="宋体"/>
          <w:color w:val="auto"/>
          <w:sz w:val="21"/>
          <w:szCs w:val="21"/>
          <w:highlight w:val="none"/>
          <w:lang w:eastAsia="zh-CN"/>
        </w:rPr>
        <w:t>、交通费、税金</w:t>
      </w:r>
      <w:r>
        <w:rPr>
          <w:rFonts w:hint="eastAsia" w:ascii="宋体" w:hAnsi="宋体" w:eastAsia="宋体" w:cs="宋体"/>
          <w:color w:val="auto"/>
          <w:sz w:val="21"/>
          <w:szCs w:val="21"/>
          <w:highlight w:val="none"/>
          <w:lang w:eastAsia="zh-CN"/>
        </w:rPr>
        <w:t>等其他一切相关费用</w:t>
      </w:r>
      <w:r>
        <w:rPr>
          <w:rFonts w:hint="eastAsia" w:ascii="宋体" w:hAnsi="宋体" w:eastAsia="宋体" w:cs="宋体"/>
          <w:color w:val="auto"/>
          <w:sz w:val="21"/>
          <w:szCs w:val="21"/>
          <w:highlight w:val="none"/>
        </w:rPr>
        <w:t>。</w:t>
      </w:r>
    </w:p>
    <w:p w14:paraId="61726432">
      <w:pPr>
        <w:pStyle w:val="2"/>
        <w:pageBreakBefore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四、付款方式及付款依据</w:t>
      </w:r>
    </w:p>
    <w:p w14:paraId="2AC61937">
      <w:pPr>
        <w:pStyle w:val="2"/>
        <w:pageBreakBefore w:val="0"/>
        <w:shd w:val="clear"/>
        <w:wordWrap/>
        <w:overflowPunct/>
        <w:topLinePunct w:val="0"/>
        <w:autoSpaceDE/>
        <w:autoSpaceDN/>
        <w:bidi w:val="0"/>
        <w:spacing w:after="0" w:line="360" w:lineRule="auto"/>
        <w:ind w:left="209" w:leftChars="95" w:firstLine="210" w:firstLineChars="1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w:t>
      </w:r>
      <w:r>
        <w:rPr>
          <w:rFonts w:hint="eastAsia" w:ascii="宋体" w:hAnsi="宋体" w:eastAsia="宋体" w:cs="宋体"/>
          <w:color w:val="auto"/>
          <w:sz w:val="21"/>
          <w:szCs w:val="21"/>
          <w:highlight w:val="none"/>
          <w:lang w:val="en-US" w:eastAsia="en-US" w:bidi="ar-SA"/>
        </w:rPr>
        <w:t>付款方式：</w:t>
      </w:r>
      <w:r>
        <w:rPr>
          <w:rFonts w:hint="eastAsia" w:asciiTheme="minorEastAsia" w:hAnsiTheme="minorEastAsia" w:eastAsiaTheme="minorEastAsia" w:cstheme="minorEastAsia"/>
          <w:color w:val="auto"/>
          <w:kern w:val="0"/>
          <w:sz w:val="21"/>
          <w:szCs w:val="21"/>
          <w:highlight w:val="none"/>
        </w:rPr>
        <w:t>合同签订后，</w:t>
      </w:r>
      <w:r>
        <w:rPr>
          <w:rFonts w:hint="eastAsia" w:asciiTheme="minorEastAsia" w:hAnsiTheme="minorEastAsia" w:eastAsiaTheme="minorEastAsia" w:cstheme="minorEastAsia"/>
          <w:color w:val="auto"/>
          <w:kern w:val="0"/>
          <w:sz w:val="21"/>
          <w:szCs w:val="21"/>
          <w:highlight w:val="none"/>
          <w:lang w:val="en-US" w:eastAsia="zh-CN"/>
        </w:rPr>
        <w:t>预付</w:t>
      </w:r>
      <w:r>
        <w:rPr>
          <w:rFonts w:hint="eastAsia" w:asciiTheme="minorEastAsia" w:hAnsiTheme="minorEastAsia" w:eastAsiaTheme="minorEastAsia" w:cstheme="minorEastAsia"/>
          <w:color w:val="auto"/>
          <w:kern w:val="0"/>
          <w:sz w:val="21"/>
          <w:szCs w:val="21"/>
          <w:highlight w:val="none"/>
        </w:rPr>
        <w:t>合同总</w:t>
      </w:r>
      <w:r>
        <w:rPr>
          <w:rFonts w:hint="eastAsia" w:asciiTheme="minorEastAsia" w:hAnsiTheme="minorEastAsia" w:eastAsiaTheme="minorEastAsia" w:cstheme="minorEastAsia"/>
          <w:color w:val="auto"/>
          <w:kern w:val="0"/>
          <w:sz w:val="21"/>
          <w:szCs w:val="21"/>
          <w:highlight w:val="none"/>
          <w:lang w:val="en-US" w:eastAsia="zh-CN"/>
        </w:rPr>
        <w:t>价</w:t>
      </w:r>
      <w:r>
        <w:rPr>
          <w:rFonts w:hint="eastAsia" w:asciiTheme="minorEastAsia" w:hAnsiTheme="minorEastAsia" w:eastAsiaTheme="minorEastAsia" w:cstheme="minorEastAsia"/>
          <w:color w:val="auto"/>
          <w:kern w:val="0"/>
          <w:sz w:val="21"/>
          <w:szCs w:val="21"/>
          <w:highlight w:val="none"/>
        </w:rPr>
        <w:t>的</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0.00%</w:t>
      </w:r>
      <w:r>
        <w:rPr>
          <w:rFonts w:hint="eastAsia" w:asciiTheme="minorEastAsia" w:hAnsiTheme="minorEastAsia" w:eastAsiaTheme="minorEastAsia" w:cstheme="minorEastAsia"/>
          <w:color w:val="auto"/>
          <w:kern w:val="0"/>
          <w:sz w:val="21"/>
          <w:szCs w:val="21"/>
          <w:highlight w:val="none"/>
          <w:lang w:eastAsia="zh-CN"/>
        </w:rPr>
        <w:t>；</w:t>
      </w:r>
      <w:r>
        <w:rPr>
          <w:rFonts w:hint="eastAsia" w:ascii="宋体" w:hAnsi="宋体" w:eastAsia="宋体" w:cs="宋体"/>
          <w:color w:val="auto"/>
          <w:kern w:val="0"/>
          <w:sz w:val="21"/>
          <w:szCs w:val="21"/>
          <w:highlight w:val="none"/>
        </w:rPr>
        <w:t>服务期满，完成所有项目内容，</w:t>
      </w:r>
      <w:r>
        <w:rPr>
          <w:rFonts w:hint="eastAsia" w:asciiTheme="minorEastAsia" w:hAnsiTheme="minorEastAsia" w:eastAsiaTheme="minorEastAsia" w:cstheme="minorEastAsia"/>
          <w:spacing w:val="-1"/>
          <w:sz w:val="21"/>
          <w:szCs w:val="21"/>
          <w:highlight w:val="none"/>
        </w:rPr>
        <w:t>后经甲方考核验收</w:t>
      </w:r>
      <w:r>
        <w:rPr>
          <w:rFonts w:hint="eastAsia" w:asciiTheme="minorEastAsia" w:hAnsiTheme="minorEastAsia" w:cstheme="minorEastAsia"/>
          <w:spacing w:val="-1"/>
          <w:sz w:val="21"/>
          <w:szCs w:val="21"/>
          <w:highlight w:val="none"/>
          <w:lang w:val="en-US" w:eastAsia="zh-CN"/>
        </w:rPr>
        <w:t>合格后</w:t>
      </w:r>
      <w:r>
        <w:rPr>
          <w:rFonts w:hint="eastAsia" w:asciiTheme="minorEastAsia" w:hAnsiTheme="minorEastAsia" w:eastAsiaTheme="minorEastAsia" w:cstheme="minorEastAsia"/>
          <w:color w:val="auto"/>
          <w:kern w:val="0"/>
          <w:sz w:val="21"/>
          <w:szCs w:val="21"/>
          <w:highlight w:val="none"/>
        </w:rPr>
        <w:t>，支付合同总</w:t>
      </w:r>
      <w:r>
        <w:rPr>
          <w:rFonts w:hint="eastAsia" w:asciiTheme="minorEastAsia" w:hAnsiTheme="minorEastAsia" w:eastAsiaTheme="minorEastAsia" w:cstheme="minorEastAsia"/>
          <w:color w:val="auto"/>
          <w:kern w:val="0"/>
          <w:sz w:val="21"/>
          <w:szCs w:val="21"/>
          <w:highlight w:val="none"/>
          <w:lang w:val="en-US" w:eastAsia="zh-CN"/>
        </w:rPr>
        <w:t>价</w:t>
      </w:r>
      <w:r>
        <w:rPr>
          <w:rFonts w:hint="eastAsia" w:asciiTheme="minorEastAsia" w:hAnsiTheme="minorEastAsia" w:eastAsiaTheme="minorEastAsia" w:cstheme="minorEastAsia"/>
          <w:color w:val="auto"/>
          <w:kern w:val="0"/>
          <w:sz w:val="21"/>
          <w:szCs w:val="21"/>
          <w:highlight w:val="none"/>
        </w:rPr>
        <w:t>的</w:t>
      </w:r>
      <w:r>
        <w:rPr>
          <w:rFonts w:hint="eastAsia" w:asciiTheme="minorEastAsia" w:hAnsiTheme="minorEastAsia" w:cstheme="minorEastAsia"/>
          <w:color w:val="auto"/>
          <w:kern w:val="0"/>
          <w:sz w:val="21"/>
          <w:szCs w:val="21"/>
          <w:highlight w:val="none"/>
          <w:lang w:val="en-US" w:eastAsia="zh-CN"/>
        </w:rPr>
        <w:t>6</w:t>
      </w:r>
      <w:r>
        <w:rPr>
          <w:rFonts w:hint="eastAsia" w:asciiTheme="minorEastAsia" w:hAnsiTheme="minorEastAsia" w:eastAsiaTheme="minorEastAsia" w:cstheme="minorEastAsia"/>
          <w:color w:val="auto"/>
          <w:kern w:val="0"/>
          <w:sz w:val="21"/>
          <w:szCs w:val="21"/>
          <w:highlight w:val="none"/>
        </w:rPr>
        <w:t>0.00%。</w:t>
      </w:r>
    </w:p>
    <w:p w14:paraId="6D493F7C">
      <w:pPr>
        <w:pStyle w:val="2"/>
        <w:pageBreakBefore w:val="0"/>
        <w:shd w:val="clear"/>
        <w:wordWrap/>
        <w:overflowPunct/>
        <w:topLinePunct w:val="0"/>
        <w:autoSpaceDE/>
        <w:autoSpaceDN/>
        <w:bidi w:val="0"/>
        <w:spacing w:after="0" w:line="360" w:lineRule="auto"/>
        <w:ind w:left="485" w:leftChars="190" w:hanging="67" w:hangingChars="32"/>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bidi="ar-SA"/>
        </w:rPr>
        <w:t>2、</w:t>
      </w:r>
      <w:r>
        <w:rPr>
          <w:rFonts w:hint="eastAsia" w:ascii="宋体" w:hAnsi="宋体" w:eastAsia="宋体" w:cs="宋体"/>
          <w:color w:val="auto"/>
          <w:sz w:val="21"/>
          <w:szCs w:val="21"/>
          <w:highlight w:val="none"/>
          <w:lang w:val="en-US" w:eastAsia="en-US" w:bidi="ar-SA"/>
        </w:rPr>
        <w:t>付款依据：付款前乙方及</w:t>
      </w:r>
      <w:r>
        <w:rPr>
          <w:rFonts w:hint="eastAsia" w:ascii="宋体" w:hAnsi="宋体" w:eastAsia="宋体" w:cs="宋体"/>
          <w:color w:val="auto"/>
          <w:kern w:val="0"/>
          <w:sz w:val="21"/>
          <w:szCs w:val="21"/>
          <w:highlight w:val="none"/>
        </w:rPr>
        <w:t>时向甲方开具等额增值税普通发票。</w:t>
      </w:r>
    </w:p>
    <w:p w14:paraId="30039BAE">
      <w:pPr>
        <w:pStyle w:val="2"/>
        <w:pageBreakBefore w:val="0"/>
        <w:shd w:val="clear"/>
        <w:wordWrap/>
        <w:overflowPunct/>
        <w:topLinePunct w:val="0"/>
        <w:autoSpaceDE/>
        <w:autoSpaceDN/>
        <w:bidi w:val="0"/>
        <w:spacing w:after="0" w:line="360" w:lineRule="auto"/>
        <w:ind w:left="0" w:leftChars="0" w:firstLine="0" w:firstLineChars="0"/>
        <w:textAlignment w:val="auto"/>
        <w:rPr>
          <w:rFonts w:hint="default"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rPr>
        <w:t>五、服务</w:t>
      </w:r>
      <w:r>
        <w:rPr>
          <w:rFonts w:hint="eastAsia" w:ascii="宋体" w:hAnsi="宋体" w:cs="宋体"/>
          <w:b/>
          <w:color w:val="auto"/>
          <w:kern w:val="0"/>
          <w:sz w:val="21"/>
          <w:szCs w:val="21"/>
          <w:highlight w:val="none"/>
          <w:lang w:val="en-US" w:eastAsia="zh-CN"/>
        </w:rPr>
        <w:t>质量：</w:t>
      </w:r>
      <w:r>
        <w:rPr>
          <w:rFonts w:hint="eastAsia" w:ascii="宋体" w:hAnsi="宋体" w:eastAsia="宋体" w:cs="宋体"/>
          <w:color w:val="auto"/>
          <w:kern w:val="0"/>
          <w:sz w:val="21"/>
          <w:szCs w:val="21"/>
          <w:highlight w:val="none"/>
          <w:lang w:val="en-US" w:eastAsia="zh-CN"/>
        </w:rPr>
        <w:t>合格</w:t>
      </w:r>
      <w:r>
        <w:rPr>
          <w:rFonts w:hint="eastAsia" w:ascii="宋体" w:hAnsi="宋体" w:cs="宋体"/>
          <w:color w:val="auto"/>
          <w:kern w:val="0"/>
          <w:sz w:val="21"/>
          <w:szCs w:val="21"/>
          <w:highlight w:val="none"/>
          <w:lang w:val="en-US" w:eastAsia="zh-CN"/>
        </w:rPr>
        <w:t>。</w:t>
      </w:r>
    </w:p>
    <w:p w14:paraId="4D505854">
      <w:pPr>
        <w:pStyle w:val="2"/>
        <w:pageBreakBefore w:val="0"/>
        <w:shd w:val="clear"/>
        <w:wordWrap/>
        <w:overflowPunct/>
        <w:topLinePunct w:val="0"/>
        <w:autoSpaceDE/>
        <w:autoSpaceDN/>
        <w:bidi w:val="0"/>
        <w:spacing w:after="0" w:line="360" w:lineRule="auto"/>
        <w:ind w:left="0" w:leftChars="0" w:firstLine="0" w:firstLineChars="0"/>
        <w:textAlignment w:val="auto"/>
        <w:rPr>
          <w:rFonts w:hint="default"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rPr>
        <w:t>六、</w:t>
      </w:r>
      <w:r>
        <w:rPr>
          <w:rFonts w:hint="eastAsia" w:ascii="宋体" w:hAnsi="宋体" w:eastAsia="宋体" w:cs="宋体"/>
          <w:b/>
          <w:bCs w:val="0"/>
          <w:color w:val="auto"/>
          <w:kern w:val="0"/>
          <w:sz w:val="21"/>
          <w:szCs w:val="21"/>
          <w:highlight w:val="none"/>
          <w:lang w:val="en-US" w:eastAsia="zh-CN"/>
        </w:rPr>
        <w:t>服务内容及要求</w:t>
      </w:r>
    </w:p>
    <w:p w14:paraId="2A65B065">
      <w:pPr>
        <w:pStyle w:val="6"/>
        <w:shd w:val="clear"/>
        <w:spacing w:line="360" w:lineRule="auto"/>
        <w:ind w:firstLine="420" w:firstLineChars="200"/>
        <w:outlineLvl w:val="9"/>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zh-CN" w:bidi="ar-SA"/>
        </w:rPr>
        <w:t>为深入贯彻落实</w:t>
      </w:r>
      <w:r>
        <w:rPr>
          <w:rFonts w:hint="eastAsia" w:ascii="宋体" w:hAnsi="宋体" w:eastAsia="宋体" w:cs="宋体"/>
          <w:color w:val="auto"/>
          <w:kern w:val="0"/>
          <w:sz w:val="21"/>
          <w:szCs w:val="21"/>
          <w:highlight w:val="none"/>
          <w:lang w:val="en-US" w:eastAsia="en-US" w:bidi="ar-SA"/>
        </w:rPr>
        <w:t>关于垃圾分类工作的重要指示精神，全面提升雁塔区居民垃圾分类参与度与准确率，推动垃圾分类工作常态化、长效化开展，结合我区实际，特制定本“壹起分”垃圾分类志愿活动方案。</w:t>
      </w:r>
    </w:p>
    <w:p w14:paraId="7DF753F0">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sz w:val="32"/>
          <w:szCs w:val="32"/>
          <w:highlight w:val="none"/>
        </w:rPr>
      </w:pPr>
      <w:r>
        <w:rPr>
          <w:rFonts w:hint="eastAsia" w:ascii="宋体" w:hAnsi="宋体" w:eastAsia="宋体" w:cs="宋体"/>
          <w:color w:val="auto"/>
          <w:sz w:val="21"/>
          <w:szCs w:val="21"/>
          <w:highlight w:val="none"/>
          <w:lang w:val="en-US" w:eastAsia="en-US"/>
        </w:rPr>
        <w:t>每个小区开展11场活动，全年77场活动；组建由小区居民、大学生志愿者构成的垃圾分类志愿队伍，实现“小区有志愿、投放有引导、活动有支撑”。</w:t>
      </w:r>
    </w:p>
    <w:p w14:paraId="50D8DC06">
      <w:pPr>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七、活动阶段安排（三个时期）</w:t>
      </w:r>
    </w:p>
    <w:p w14:paraId="267286BC">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（一）导入期：宣传预热·拉近民心（第1-3个月）</w:t>
      </w:r>
    </w:p>
    <w:p w14:paraId="2A21C51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 核心目标</w:t>
      </w:r>
    </w:p>
    <w:p w14:paraId="23BA1821">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通过全方位宣传调研，普及垃圾分类知识，消除居民距离感，完成“减废存折”注册登记，为后续活动奠定群众基础。</w:t>
      </w:r>
    </w:p>
    <w:p w14:paraId="375AAA61">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 主要活动</w:t>
      </w:r>
    </w:p>
    <w:p w14:paraId="6AC1F0E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（1）调研问卷入户：志愿者分组发放垃圾分类调研问卷，了解居民分类认知、投放习惯与需求建议，同步宣传活动意义与参与方式。</w:t>
      </w:r>
    </w:p>
    <w:p w14:paraId="4F4F6BD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（2）绿色巡展进小区：在小区广场、出入口设置巡展点位，通过展板、宣传册、互动游戏等形式，讲解垃圾分类“四分法”标准、投放流程与减废存折使用规则，现场引导居民完成信息登记与存折领取。</w:t>
      </w:r>
    </w:p>
    <w:p w14:paraId="694799D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（3）志愿招募宣讲：举办志愿者招募会，面向小区居民、高校学生招募垃圾分类志愿者，开展基础培训，明确岗位职责与服务规范，组建小区专属志愿小组。</w:t>
      </w:r>
    </w:p>
    <w:p w14:paraId="4426F48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 活动频次</w:t>
      </w:r>
    </w:p>
    <w:p w14:paraId="64520801">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每个小区开展志愿者宣讲+调研问卷入户+绿色巡讲3场，7个小区，共计21场，完成前期宣传与志愿队伍组建。</w:t>
      </w:r>
    </w:p>
    <w:p w14:paraId="4F1C0A4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（二）执行期：实操落地·积分激励（第4-9个月）</w:t>
      </w:r>
    </w:p>
    <w:p w14:paraId="666A96F1">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 核心目标</w:t>
      </w:r>
    </w:p>
    <w:p w14:paraId="587ED95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以志愿监督为抓手，以积分兑换为激励，规范居民定时投放行为，提升垃圾分类准确率，形成“人人参与、家家践行”的良好氛围。</w:t>
      </w:r>
    </w:p>
    <w:p w14:paraId="576BCF5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 主要活动</w:t>
      </w:r>
    </w:p>
    <w:p w14:paraId="5281F8F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（1）第8-9个月，每月抽查小区投放高峰时段进行值守，记录投放情况。</w:t>
      </w:r>
    </w:p>
    <w:p w14:paraId="7ADDC89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（2）定时投放积分：为每户居民发放“减废存折”，完成信息注册后，居民通过日常投放垃圾拍照留存、志愿者现场核验的方式获取积分，积分可累计用于兑换礼品或参与评优。</w:t>
      </w:r>
    </w:p>
    <w:p w14:paraId="1716356A">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（3）每月一评表彰：每月开展“垃圾分类优秀家庭”评选，结合积分排名、投放准确率、参与活跃度等指标，评选表彰优秀家庭，颁发荣誉证书与实物奖励，营造比学赶超氛围。</w:t>
      </w:r>
    </w:p>
    <w:p w14:paraId="306A64E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（4）隔周可回收物回收：志愿者每两周组织一次可回收物集中回收活动，现场称重、登记积分，引导居民将废纸、塑料、金属、玻璃等可回收物规范投放，实现资源循环利用。</w:t>
      </w:r>
    </w:p>
    <w:p w14:paraId="4FEBD1CF">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 活动频次</w:t>
      </w:r>
    </w:p>
    <w:p w14:paraId="6BD45188">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每个小区开展2场积分兑换+1场优秀家庭评选+2场可回收物回收活动，7个小区，共计35场，确保执行期活动常态化开展。</w:t>
      </w:r>
    </w:p>
    <w:p w14:paraId="6BB9A02F">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（三）维持期：长效运营·常态推进（第10-12个月）</w:t>
      </w:r>
    </w:p>
    <w:p w14:paraId="702E72D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 核心目标</w:t>
      </w:r>
    </w:p>
    <w:p w14:paraId="2498473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协助社区建立垃圾分类长效工作机制，培育社区自治力量，实现垃圾分类工作从“活动推动”向“自主运营”转变。</w:t>
      </w:r>
    </w:p>
    <w:p w14:paraId="46D186F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 主要活动</w:t>
      </w:r>
    </w:p>
    <w:p w14:paraId="4D24C248">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（1）组建社区工作小组：协助社区成立由社区干部、物业人员、志愿者骨干、居民代表组成的垃圾分类工作小组，明确职责分工，制定社区垃圾分类管理制度与考核细则。</w:t>
      </w:r>
    </w:p>
    <w:p w14:paraId="42EE3ED0">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（2）完善运营机制：建立“志愿值守+日常巡查+月度评比”的常态化运营模式，将垃圾分类纳入社区网格化管理，定期开展复盘总结，优化投放流程与激励机制。</w:t>
      </w:r>
    </w:p>
    <w:p w14:paraId="218BEF3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（3）巩固宣传成果：持续开展小型宣传活动，通过社区公告栏、业主群、入户提醒等方式，强化居民分类意识，确保分类习惯不反弹。</w:t>
      </w:r>
    </w:p>
    <w:p w14:paraId="3208D61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 活动频次</w:t>
      </w:r>
    </w:p>
    <w:p w14:paraId="700B96F0">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每个小区开展2场机制建设+1场巩固宣传活动，7个小区，共计21场，完成长效机制搭建与成果巩固。</w:t>
      </w:r>
    </w:p>
    <w:p w14:paraId="33B25011">
      <w:pPr>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w:t>
      </w:r>
      <w:r>
        <w:rPr>
          <w:rFonts w:hint="eastAsia" w:cs="宋体"/>
          <w:b/>
          <w:bCs/>
          <w:color w:val="auto"/>
          <w:sz w:val="21"/>
          <w:szCs w:val="21"/>
          <w:highlight w:val="none"/>
          <w:lang w:val="en-US" w:eastAsia="zh-CN" w:bidi="ar-SA"/>
        </w:rPr>
        <w:t>活动重点任务（三个重点）</w:t>
      </w:r>
    </w:p>
    <w:p w14:paraId="5BC5ECE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（一）以绿色巡展为抓手，实现减废存折全覆盖</w:t>
      </w:r>
    </w:p>
    <w:p w14:paraId="317ACB4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以绿色巡展为核心宣传载体，志愿者化身“分类宣传员”，通过“一对一讲解、手把手指导、现场注册”的方式，引导居民主动领取并注册“减废存折”，建立居民分类信息档案，确保每个小区存折注册率达到90%以上，为积分激励体系落地筑牢基础。</w:t>
      </w:r>
    </w:p>
    <w:p w14:paraId="53145C8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（二）以积分兑换为纽带，提升居民参与获得感</w:t>
      </w:r>
    </w:p>
    <w:p w14:paraId="06694BA4">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建立“分类积分—月度兑换—年度评优”的全链条激励机制，志愿者负责积分登记、核验与兑换组织，定期推出生活用品、环保礼品、社区服务券等兑换物资，让居民在分类中得实惠、在参与中获认可，进一步拉近与居民的距离，增强垃圾分类行动的参与感与归属感。</w:t>
      </w:r>
    </w:p>
    <w:p w14:paraId="064FC8E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（三）以特色活动为载体，推动垃圾减量变废为宝</w:t>
      </w:r>
    </w:p>
    <w:p w14:paraId="31764BD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常态化组织居民开展酵素制作、以物换物、旧衣改造、环保手工等主题活动，志愿者负责活动组织、材料准备与现场指导，引导居民将厨余垃圾转化为环保酵素、闲置物品实现循环利用、废旧衣物改造为实用物件，既从源头减少垃圾产生，又丰富居民精神文化生活，打造“绿色、低碳、共享”的社区生活新方式。</w:t>
      </w:r>
    </w:p>
    <w:p w14:paraId="4E92A2C0">
      <w:pPr>
        <w:spacing w:line="360" w:lineRule="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b/>
          <w:bCs/>
          <w:color w:val="auto"/>
          <w:sz w:val="21"/>
          <w:szCs w:val="21"/>
          <w:highlight w:val="none"/>
          <w:lang w:val="en-US" w:eastAsia="zh-CN" w:bidi="ar-SA"/>
        </w:rPr>
        <w:t>九、志愿者管理与保障</w:t>
      </w:r>
    </w:p>
    <w:p w14:paraId="2926720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（一）志愿者招募</w:t>
      </w:r>
    </w:p>
    <w:p w14:paraId="70E6D230">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1.招募对象：小区热心居民、驻区高校大学生、环保公益爱好者、党员干部等，年龄18-65周岁，身体健康，热心公益事业。</w:t>
      </w:r>
    </w:p>
    <w:p w14:paraId="4500BAD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2.招募方式：通过社区公告、业主群、高校团委、公益平台等渠道发布招募信息，线上线下同步报名，择优录取。</w:t>
      </w:r>
    </w:p>
    <w:p w14:paraId="47D1E7BF">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（二）志愿者培训</w:t>
      </w:r>
    </w:p>
    <w:p w14:paraId="6FF05911">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1.岗前培训：开展垃圾分类知识、服务礼仪、活动流程、积分规则等专项培训，确保志愿者熟练掌握业务技能。</w:t>
      </w:r>
    </w:p>
    <w:p w14:paraId="55D0EEA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2.定期复盘：每月组织一次志愿者复盘会，总结活动经验，解决实际问题，提升服务水平。</w:t>
      </w:r>
    </w:p>
    <w:p w14:paraId="7C24663F">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（三）志愿者激励</w:t>
      </w:r>
    </w:p>
    <w:p w14:paraId="65C74070">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1.服务时长登记：为志愿者建立服务档案，记录服务时长，纳入志愿服务星级评定。</w:t>
      </w:r>
    </w:p>
    <w:p w14:paraId="2FC1814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2.评优表彰：每季度评选“优秀垃圾分类志愿者”，颁发荣誉证书与奖励，年度评选“志愿之星”，在全区范围内宣传表彰。</w:t>
      </w:r>
    </w:p>
    <w:p w14:paraId="4727A434">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3.实践证明：为大学生志愿者提供社会实践证明，优先推荐参与区级环保公益活动。</w:t>
      </w:r>
    </w:p>
    <w:p w14:paraId="3D6E09C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（四）物资与安全保障</w:t>
      </w:r>
    </w:p>
    <w:p w14:paraId="0CEEEEA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1.物资保障：统一配备宣传展板、宣传册、减废存折、积分卡、志愿者服装、值守工具、活动礼品等物资，确保活动顺利开展。</w:t>
      </w:r>
    </w:p>
    <w:p w14:paraId="1E254268">
      <w:pPr>
        <w:spacing w:line="360" w:lineRule="auto"/>
        <w:ind w:firstLine="420" w:firstLineChars="200"/>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2.安全保障：制定活动安全预案，加强现场安全管理，确保志愿者与居民人身安全。</w:t>
      </w:r>
    </w:p>
    <w:p w14:paraId="534EFCAD">
      <w:pPr>
        <w:spacing w:line="360" w:lineRule="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b/>
          <w:bCs/>
          <w:color w:val="auto"/>
          <w:sz w:val="21"/>
          <w:szCs w:val="21"/>
          <w:highlight w:val="none"/>
          <w:lang w:val="en-US" w:eastAsia="zh-CN" w:bidi="ar-SA"/>
        </w:rPr>
        <w:t>十、活动考核与评估</w:t>
      </w:r>
    </w:p>
    <w:p w14:paraId="04B50C4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（一）考核指标</w:t>
      </w:r>
    </w:p>
    <w:p w14:paraId="1845D6B7">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1.参与度指标：居民存折注册率、活动参与人次、积分兑换率、可回收物回收量。</w:t>
      </w:r>
    </w:p>
    <w:p w14:paraId="71C805A4">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2.准确率指标：投放点垃圾分类准确率、优秀家庭评选达标率。</w:t>
      </w:r>
    </w:p>
    <w:p w14:paraId="1FD40D7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3.长效性指标：社区工作小组组建率、常态化运营机制建立情况、居民分类习惯巩固情况。</w:t>
      </w:r>
    </w:p>
    <w:p w14:paraId="2AA7D57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（二）评估方式</w:t>
      </w:r>
    </w:p>
    <w:p w14:paraId="3F07F04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1.月度自查：各小区执行组每月开展自查，形成活动总结与数据报表，上报区城管局。</w:t>
      </w:r>
    </w:p>
    <w:p w14:paraId="62184C4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2.季度督导：区城管局联合街道、社区开展季度督导检查，实地查看活动开展情况，提出整改意见。</w:t>
      </w:r>
    </w:p>
    <w:p w14:paraId="03AC0798">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3.年度总结：年底开展全面评估，总结活动成效，提炼经验做法，形成年度工作报告，为后续垃圾分类工作提供参考。</w:t>
      </w:r>
    </w:p>
    <w:p w14:paraId="0AD0DFC3">
      <w:pPr>
        <w:spacing w:line="360" w:lineRule="auto"/>
        <w:rPr>
          <w:rFonts w:hint="eastAsia" w:ascii="宋体" w:hAnsi="宋体" w:eastAsia="宋体" w:cs="宋体"/>
          <w:b/>
          <w:bCs/>
          <w:color w:val="auto"/>
          <w:sz w:val="21"/>
          <w:szCs w:val="21"/>
          <w:highlight w:val="none"/>
          <w:lang w:val="en-US" w:eastAsia="zh-CN" w:bidi="ar-SA"/>
        </w:rPr>
      </w:pPr>
      <w:r>
        <w:rPr>
          <w:rFonts w:hint="eastAsia" w:cs="宋体"/>
          <w:b/>
          <w:bCs/>
          <w:color w:val="auto"/>
          <w:sz w:val="21"/>
          <w:szCs w:val="21"/>
          <w:highlight w:val="none"/>
          <w:lang w:val="en-US" w:eastAsia="zh-CN" w:bidi="ar-SA"/>
        </w:rPr>
        <w:t>十一</w:t>
      </w:r>
      <w:r>
        <w:rPr>
          <w:rFonts w:hint="eastAsia" w:ascii="宋体" w:hAnsi="宋体" w:eastAsia="宋体" w:cs="宋体"/>
          <w:b/>
          <w:bCs/>
          <w:color w:val="auto"/>
          <w:sz w:val="21"/>
          <w:szCs w:val="21"/>
          <w:highlight w:val="none"/>
          <w:lang w:val="en-US" w:eastAsia="zh-CN" w:bidi="ar-SA"/>
        </w:rPr>
        <w:t>、工作要求</w:t>
      </w:r>
    </w:p>
    <w:p w14:paraId="7289574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（一）提高思想认识</w:t>
      </w:r>
    </w:p>
    <w:p w14:paraId="3BBBA21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各单位要充分认识垃圾分类工作的重要性，将“壹起分”志愿活动作为提升我区垃圾分类水平的重要抓手，精心组织、周密部署，确保活动取得实效。</w:t>
      </w:r>
    </w:p>
    <w:p w14:paraId="18E1E20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（二）强化协同配合</w:t>
      </w:r>
    </w:p>
    <w:p w14:paraId="3DDA712A">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区城管局、街道、社区、物业、高校要加强沟通协作，形成“上下联动、齐抓共管”的工作格局，整合资源、形成合力，共同推进活动开展。</w:t>
      </w:r>
    </w:p>
    <w:p w14:paraId="00D0497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（三）注重宣传引导</w:t>
      </w:r>
    </w:p>
    <w:p w14:paraId="5A56BDFC">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充分利用电视、报纸、网络、社区平台等多种渠道，宣传活动意义、进展与成效，挖掘先进典型，营造“人人关心垃圾分类、人人参与垃圾分类”的浓厚氛围。</w:t>
      </w:r>
    </w:p>
    <w:p w14:paraId="7CB23BCC">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（四）坚持长效推进</w:t>
      </w:r>
    </w:p>
    <w:p w14:paraId="19F2310E">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以本次活动为契机，注重长效机制建设，将志愿活动与社区治理、垃圾分类常态化工作相结合，推动我区垃圾分类工作持续提质增效。</w:t>
      </w:r>
    </w:p>
    <w:p w14:paraId="2C2D3E06">
      <w:pPr>
        <w:pStyle w:val="2"/>
        <w:pageBreakBefore w:val="0"/>
        <w:shd w:val="clear"/>
        <w:wordWrap/>
        <w:overflowPunct/>
        <w:topLinePunct w:val="0"/>
        <w:autoSpaceDE/>
        <w:autoSpaceDN/>
        <w:bidi w:val="0"/>
        <w:spacing w:after="0" w:line="360" w:lineRule="auto"/>
        <w:ind w:left="0" w:leftChars="0" w:firstLine="0" w:firstLineChars="0"/>
        <w:textAlignment w:val="auto"/>
        <w:rPr>
          <w:rFonts w:hint="eastAsia" w:ascii="宋体" w:hAnsi="宋体" w:eastAsia="宋体" w:cs="宋体"/>
          <w:b/>
          <w:color w:val="auto"/>
          <w:kern w:val="0"/>
          <w:sz w:val="21"/>
          <w:szCs w:val="21"/>
          <w:highlight w:val="none"/>
        </w:rPr>
      </w:pPr>
      <w:r>
        <w:rPr>
          <w:rFonts w:hint="eastAsia" w:cs="宋体"/>
          <w:b/>
          <w:color w:val="auto"/>
          <w:kern w:val="0"/>
          <w:sz w:val="21"/>
          <w:szCs w:val="21"/>
          <w:highlight w:val="none"/>
          <w:lang w:val="en-US" w:eastAsia="zh-CN"/>
        </w:rPr>
        <w:t>十二</w:t>
      </w:r>
      <w:r>
        <w:rPr>
          <w:rFonts w:hint="eastAsia" w:ascii="宋体" w:hAnsi="宋体" w:eastAsia="宋体" w:cs="宋体"/>
          <w:b/>
          <w:color w:val="auto"/>
          <w:kern w:val="0"/>
          <w:sz w:val="21"/>
          <w:szCs w:val="21"/>
          <w:highlight w:val="none"/>
          <w:lang w:val="en-US" w:eastAsia="zh-CN"/>
        </w:rPr>
        <w:t>、</w:t>
      </w:r>
      <w:r>
        <w:rPr>
          <w:rFonts w:hint="eastAsia" w:ascii="宋体" w:hAnsi="宋体" w:eastAsia="宋体" w:cs="宋体"/>
          <w:b/>
          <w:color w:val="auto"/>
          <w:kern w:val="0"/>
          <w:sz w:val="21"/>
          <w:szCs w:val="21"/>
          <w:highlight w:val="none"/>
        </w:rPr>
        <w:t>甲方的权利与义务</w:t>
      </w:r>
    </w:p>
    <w:p w14:paraId="0755367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1．甲方有权向乙方询问工作进展情况及相关的内容。</w:t>
      </w:r>
    </w:p>
    <w:p w14:paraId="7B3FF520">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2．甲方有权阐述对具体问题的意见和建议。</w:t>
      </w:r>
    </w:p>
    <w:p w14:paraId="5BA6AC5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 甲方有权根据项目的具体情况，要求乙方按期到项目现场协调解决问题。</w:t>
      </w:r>
    </w:p>
    <w:p w14:paraId="58A76B9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4．当甲方认定乙方专业人员不按合同履行其职责，或与第三人串通给乙方造成经济损失的，甲方有权要求更换专业人员，直至终止合同并要求乙方承担相应的赔偿责任。</w:t>
      </w:r>
    </w:p>
    <w:p w14:paraId="35B96CC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5.甲方应当在约定的时间内，向乙方提供与本项目实施有关的资料。</w:t>
      </w:r>
    </w:p>
    <w:p w14:paraId="7BB3634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6.甲方对乙方的生产运行状态进行监督检查发现问题及时提出整改意见。</w:t>
      </w:r>
    </w:p>
    <w:p w14:paraId="0F9FF40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7.需负责与相关部门的对接工作。</w:t>
      </w:r>
    </w:p>
    <w:p w14:paraId="41F4E12B">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8.按期支付服务费用给乙方。</w:t>
      </w:r>
    </w:p>
    <w:p w14:paraId="680575C4">
      <w:pPr>
        <w:pageBreakBefore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cs="宋体"/>
          <w:b/>
          <w:color w:val="auto"/>
          <w:sz w:val="21"/>
          <w:szCs w:val="21"/>
          <w:highlight w:val="none"/>
          <w:lang w:val="en-US" w:eastAsia="zh-CN"/>
        </w:rPr>
        <w:t>三</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乙方的权利与义务</w:t>
      </w:r>
    </w:p>
    <w:p w14:paraId="38573A92">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1.乙方在项目实施过程中，如甲方提供的资料不明确时，可向甲方提出书面报告。</w:t>
      </w:r>
    </w:p>
    <w:p w14:paraId="4D6D29F6">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2.乙方须严格遵守采购人各项管理规定，服从统一协调和安排，积极配合采购人开展的各类垃圾分类检查、考核工作。</w:t>
      </w:r>
    </w:p>
    <w:p w14:paraId="1BF1EA69">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cs="宋体"/>
          <w:color w:val="auto"/>
          <w:sz w:val="21"/>
          <w:szCs w:val="21"/>
          <w:highlight w:val="none"/>
          <w:lang w:val="en-US" w:eastAsia="zh-CN" w:bidi="ar-SA"/>
        </w:rPr>
        <w:t>3</w:t>
      </w:r>
      <w:r>
        <w:rPr>
          <w:rFonts w:hint="eastAsia" w:ascii="宋体" w:hAnsi="宋体" w:eastAsia="宋体" w:cs="宋体"/>
          <w:color w:val="auto"/>
          <w:sz w:val="21"/>
          <w:szCs w:val="21"/>
          <w:highlight w:val="none"/>
          <w:lang w:val="en-US" w:eastAsia="zh-CN" w:bidi="ar-SA"/>
        </w:rPr>
        <w:t>.服务期间，乙方须加强对工作人员的日常管理，建立内部考核机制，确保服务质量；采购人有权对乙方的服务工作进行监督、检查和考核，考核结果作为服务验收和费用支付的重要依据。</w:t>
      </w:r>
    </w:p>
    <w:p w14:paraId="58D32BDD">
      <w:pPr>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cs="宋体"/>
          <w:color w:val="auto"/>
          <w:sz w:val="21"/>
          <w:szCs w:val="21"/>
          <w:highlight w:val="none"/>
          <w:lang w:val="en-US" w:eastAsia="zh-CN" w:bidi="ar-SA"/>
        </w:rPr>
        <w:t>4</w:t>
      </w:r>
      <w:r>
        <w:rPr>
          <w:rFonts w:hint="eastAsia" w:ascii="宋体" w:hAnsi="宋体" w:eastAsia="宋体" w:cs="宋体"/>
          <w:color w:val="auto"/>
          <w:sz w:val="21"/>
          <w:szCs w:val="21"/>
          <w:highlight w:val="none"/>
          <w:lang w:val="en-US" w:eastAsia="zh-CN" w:bidi="ar-SA"/>
        </w:rPr>
        <w:t>.乙方须做好服务过程中的安全生产工作，落实安全生产责任，避免发生安全生产事故；若因乙方原因造成公共财产损失、居民人身伤害等，由乙方承担全部赔偿责任及相应法律责任。</w:t>
      </w:r>
    </w:p>
    <w:p w14:paraId="7CD54007">
      <w:pPr>
        <w:spacing w:line="360" w:lineRule="auto"/>
        <w:ind w:firstLine="420" w:firstLineChars="200"/>
        <w:rPr>
          <w:rFonts w:hint="eastAsia" w:ascii="宋体" w:hAnsi="宋体" w:cs="宋体"/>
          <w:b w:val="0"/>
          <w:bCs/>
          <w:kern w:val="0"/>
          <w:sz w:val="21"/>
          <w:szCs w:val="21"/>
          <w:highlight w:val="none"/>
        </w:rPr>
      </w:pPr>
      <w:r>
        <w:rPr>
          <w:rFonts w:hint="eastAsia" w:cs="宋体"/>
          <w:b w:val="0"/>
          <w:bCs/>
          <w:kern w:val="0"/>
          <w:sz w:val="21"/>
          <w:szCs w:val="21"/>
          <w:highlight w:val="none"/>
          <w:lang w:val="en-US" w:eastAsia="zh-CN"/>
        </w:rPr>
        <w:t>5</w:t>
      </w:r>
      <w:r>
        <w:rPr>
          <w:rFonts w:hint="eastAsia" w:ascii="宋体" w:hAnsi="宋体" w:cs="宋体"/>
          <w:b w:val="0"/>
          <w:bCs/>
          <w:kern w:val="0"/>
          <w:sz w:val="21"/>
          <w:szCs w:val="21"/>
          <w:highlight w:val="none"/>
          <w:lang w:val="en-US" w:eastAsia="zh-CN"/>
        </w:rPr>
        <w:t>.</w:t>
      </w:r>
      <w:r>
        <w:rPr>
          <w:rFonts w:hint="eastAsia" w:ascii="宋体" w:hAnsi="宋体" w:cs="宋体"/>
          <w:b w:val="0"/>
          <w:bCs/>
          <w:kern w:val="0"/>
          <w:sz w:val="21"/>
          <w:szCs w:val="21"/>
          <w:highlight w:val="none"/>
        </w:rPr>
        <w:t>人员培训：</w:t>
      </w:r>
      <w:r>
        <w:rPr>
          <w:rFonts w:hint="eastAsia" w:ascii="宋体" w:hAnsi="宋体" w:cs="宋体"/>
          <w:b w:val="0"/>
          <w:bCs/>
          <w:kern w:val="0"/>
          <w:sz w:val="21"/>
          <w:szCs w:val="21"/>
          <w:highlight w:val="none"/>
          <w:lang w:eastAsia="zh-CN"/>
        </w:rPr>
        <w:t>乙方</w:t>
      </w:r>
      <w:r>
        <w:rPr>
          <w:rFonts w:hint="eastAsia" w:ascii="宋体" w:hAnsi="宋体" w:cs="宋体"/>
          <w:b w:val="0"/>
          <w:bCs/>
          <w:kern w:val="0"/>
          <w:sz w:val="21"/>
          <w:szCs w:val="21"/>
          <w:highlight w:val="none"/>
        </w:rPr>
        <w:t>须对所有上岗人员进行岗前培训和定期在岗培训，培训内容包括垃圾分类标准、督导服务规范、文明用语、设施设备维护、应急处置等，确保所有人员具备相应的服务能力和专业素养；培训记录留存备查。</w:t>
      </w:r>
    </w:p>
    <w:p w14:paraId="2315D9F7">
      <w:pPr>
        <w:pageBreakBefore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cs="宋体"/>
          <w:b/>
          <w:color w:val="auto"/>
          <w:sz w:val="21"/>
          <w:szCs w:val="21"/>
          <w:highlight w:val="none"/>
          <w:lang w:val="en-US" w:eastAsia="zh-CN"/>
        </w:rPr>
        <w:t>四</w:t>
      </w:r>
      <w:r>
        <w:rPr>
          <w:rFonts w:hint="eastAsia" w:ascii="宋体" w:hAnsi="宋体" w:eastAsia="宋体" w:cs="宋体"/>
          <w:b/>
          <w:color w:val="auto"/>
          <w:sz w:val="21"/>
          <w:szCs w:val="21"/>
          <w:highlight w:val="none"/>
        </w:rPr>
        <w:t>、验收</w:t>
      </w:r>
    </w:p>
    <w:p w14:paraId="53B44242">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招标文件、投标文件、澄清表（函）；</w:t>
      </w:r>
    </w:p>
    <w:p w14:paraId="535BE808">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本合同及附件文本；</w:t>
      </w:r>
    </w:p>
    <w:p w14:paraId="4C509E4A">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国家相应的标准、规范。</w:t>
      </w:r>
    </w:p>
    <w:p w14:paraId="3477B459">
      <w:pPr>
        <w:pageBreakBefore w:val="0"/>
        <w:shd w:val="clear"/>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十</w:t>
      </w:r>
      <w:r>
        <w:rPr>
          <w:rFonts w:hint="eastAsia" w:cs="宋体"/>
          <w:b/>
          <w:bCs/>
          <w:color w:val="auto"/>
          <w:sz w:val="21"/>
          <w:szCs w:val="21"/>
          <w:highlight w:val="none"/>
          <w:lang w:val="en-US" w:eastAsia="zh-CN"/>
        </w:rPr>
        <w:t>五</w:t>
      </w:r>
      <w:r>
        <w:rPr>
          <w:rFonts w:hint="eastAsia" w:ascii="宋体" w:hAnsi="宋体" w:eastAsia="宋体" w:cs="宋体"/>
          <w:b/>
          <w:bCs/>
          <w:color w:val="auto"/>
          <w:sz w:val="21"/>
          <w:szCs w:val="21"/>
          <w:highlight w:val="none"/>
          <w:lang w:eastAsia="zh-CN"/>
        </w:rPr>
        <w:t>、违约责任</w:t>
      </w:r>
    </w:p>
    <w:p w14:paraId="6047BAF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按《中华人民共和国政府采购法》、《中华人民共和国民法典》中的相关条款执行。</w:t>
      </w:r>
    </w:p>
    <w:p w14:paraId="25444DC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hAnsi="宋体" w:cs="宋体"/>
          <w:bCs/>
          <w:color w:val="auto"/>
          <w:sz w:val="21"/>
          <w:szCs w:val="21"/>
          <w:highlight w:val="none"/>
          <w:lang w:val="en-US" w:eastAsia="zh-CN"/>
        </w:rPr>
        <w:t>2</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未按合同要求提供服务或服务质量不能满足本次项目要求，甲方有权终止合同和对乙方违约行为进</w:t>
      </w:r>
      <w:r>
        <w:rPr>
          <w:rFonts w:hint="eastAsia" w:ascii="宋体" w:hAnsi="宋体" w:eastAsia="宋体" w:cs="宋体"/>
          <w:b w:val="0"/>
          <w:bCs/>
          <w:color w:val="auto"/>
          <w:sz w:val="21"/>
          <w:szCs w:val="21"/>
          <w:highlight w:val="none"/>
          <w:lang w:eastAsia="zh-CN"/>
        </w:rPr>
        <w:t>行追究，同时按有关规定进行相应的处罚。</w:t>
      </w:r>
    </w:p>
    <w:p w14:paraId="01DBB0FF">
      <w:pPr>
        <w:pageBreakBefore w:val="0"/>
        <w:shd w:val="clear"/>
        <w:kinsoku/>
        <w:wordWrap/>
        <w:overflowPunct/>
        <w:topLinePunct w:val="0"/>
        <w:autoSpaceDE/>
        <w:autoSpaceDN/>
        <w:bidi w:val="0"/>
        <w:adjustRightInd/>
        <w:snapToGrid/>
        <w:spacing w:before="0" w:after="0" w:line="360" w:lineRule="auto"/>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十</w:t>
      </w:r>
      <w:r>
        <w:rPr>
          <w:rFonts w:hint="eastAsia" w:cs="宋体"/>
          <w:b/>
          <w:bCs/>
          <w:color w:val="auto"/>
          <w:kern w:val="0"/>
          <w:sz w:val="21"/>
          <w:szCs w:val="21"/>
          <w:highlight w:val="none"/>
          <w:lang w:val="en-US" w:eastAsia="zh-CN"/>
        </w:rPr>
        <w:t>六</w:t>
      </w: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sz w:val="21"/>
          <w:szCs w:val="21"/>
          <w:highlight w:val="none"/>
        </w:rPr>
        <w:t>保密条款</w:t>
      </w:r>
    </w:p>
    <w:p w14:paraId="68472FD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双方承诺，除非法律另有规定或双方一致同意，任何一方不得将本协议的内容向第三方透露，否则，应向对方承担相应的违约责任。</w:t>
      </w:r>
    </w:p>
    <w:p w14:paraId="47FA127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同意在本协议期限内或之后，只为本协议目的而使用属于对方的保密资料，在未得到对方书面同意之前，不将对方的保密资料披露给第三方，以及如果披露方要求，接受方应立即将任何被要求退还的保密资料退还给披露方。</w:t>
      </w:r>
    </w:p>
    <w:p w14:paraId="6B76CF9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为公众所知的；接受方通过没有保密义务的独立渠道合法获得的资料；接受方在本协议保密条款签订之前已经知道的资料；因法律行为（包括诉讼、仲裁等行为）和执行国家政策的需要进行披露的资料。</w:t>
      </w:r>
    </w:p>
    <w:p w14:paraId="5960C3F0">
      <w:pPr>
        <w:pStyle w:val="2"/>
        <w:pageBreakBefore w:val="0"/>
        <w:shd w:val="clea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w:t>
      </w:r>
      <w:r>
        <w:rPr>
          <w:rFonts w:hint="eastAsia" w:cs="宋体"/>
          <w:b/>
          <w:bCs/>
          <w:color w:val="auto"/>
          <w:kern w:val="0"/>
          <w:sz w:val="21"/>
          <w:szCs w:val="21"/>
          <w:highlight w:val="none"/>
          <w:lang w:val="en-US" w:eastAsia="zh-CN"/>
        </w:rPr>
        <w:t>七</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政府采购合同履行</w:t>
      </w:r>
    </w:p>
    <w:p w14:paraId="0A92C9F9">
      <w:pPr>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595205C5">
      <w:pPr>
        <w:pageBreakBefore w:val="0"/>
        <w:shd w:val="clear"/>
        <w:tabs>
          <w:tab w:val="left" w:pos="498"/>
        </w:tabs>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、合同争议的解决</w:t>
      </w:r>
    </w:p>
    <w:p w14:paraId="257597B8">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因本合同产生纠纷，如协商无法解决，双方均有权向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573EFBFA">
      <w:pPr>
        <w:pageBreakBefore w:val="0"/>
        <w:shd w:val="clear"/>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九</w:t>
      </w:r>
      <w:r>
        <w:rPr>
          <w:rFonts w:hint="eastAsia" w:ascii="宋体" w:hAnsi="宋体" w:eastAsia="宋体" w:cs="宋体"/>
          <w:b/>
          <w:color w:val="auto"/>
          <w:sz w:val="21"/>
          <w:szCs w:val="21"/>
          <w:highlight w:val="none"/>
          <w:lang w:bidi="ar"/>
        </w:rPr>
        <w:t>、其他</w:t>
      </w:r>
    </w:p>
    <w:p w14:paraId="4187B062">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bidi="ar"/>
        </w:rPr>
        <w:t>1、不可抗力情况下的免责约定，双方约定不可抗力情况包括：五级以上地震、大风、大雨、大雪。</w:t>
      </w:r>
    </w:p>
    <w:p w14:paraId="7B7426F9">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2、除本合</w:t>
      </w:r>
      <w:r>
        <w:rPr>
          <w:rFonts w:hint="eastAsia" w:ascii="宋体" w:hAnsi="宋体" w:eastAsia="宋体" w:cs="宋体"/>
          <w:color w:val="auto"/>
          <w:sz w:val="21"/>
          <w:szCs w:val="21"/>
          <w:highlight w:val="none"/>
          <w:lang w:bidi="ar"/>
        </w:rPr>
        <w:t>同约定，合同一经签订，不得擅自变更、中止或者终止合同。对确需变更、调整或者中止、终止合同的，应按规定履行相应的手续。</w:t>
      </w:r>
    </w:p>
    <w:p w14:paraId="343CDA29">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、合同订立</w:t>
      </w:r>
    </w:p>
    <w:p w14:paraId="2B23830B">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订立时间：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月</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日。</w:t>
      </w:r>
    </w:p>
    <w:p w14:paraId="3313ADC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2</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订立地点：</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7BFCA97F">
      <w:pPr>
        <w:pageBreakBefore w:val="0"/>
        <w:shd w:val="clear"/>
        <w:tabs>
          <w:tab w:val="left" w:pos="980"/>
        </w:tabs>
        <w:kinsoku w:val="0"/>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3</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rPr>
        <w:t>本合同自双方签字、盖章之日起生效。合同文本一式</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份，具同等法律效力。</w:t>
      </w:r>
    </w:p>
    <w:p w14:paraId="63970AEA">
      <w:pP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br w:type="page"/>
      </w:r>
    </w:p>
    <w:p w14:paraId="53D5C246">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bidi="ar"/>
        </w:rPr>
      </w:pPr>
    </w:p>
    <w:p w14:paraId="73369AFC">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（以下无正文）</w:t>
      </w:r>
    </w:p>
    <w:p w14:paraId="6199C6CF">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bidi="ar"/>
        </w:rPr>
        <w:t>甲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r>
        <w:rPr>
          <w:rFonts w:hint="eastAsia" w:ascii="宋体" w:hAnsi="宋体" w:eastAsia="宋体" w:cs="宋体"/>
          <w:color w:val="auto"/>
          <w:sz w:val="21"/>
          <w:szCs w:val="21"/>
          <w:highlight w:val="none"/>
          <w:lang w:bidi="ar"/>
        </w:rPr>
        <w:t xml:space="preserve">      </w:t>
      </w:r>
      <w:r>
        <w:rPr>
          <w:rFonts w:hint="eastAsia" w:hAnsi="宋体" w:cs="宋体"/>
          <w:color w:val="auto"/>
          <w:sz w:val="21"/>
          <w:szCs w:val="21"/>
          <w:highlight w:val="none"/>
          <w:lang w:val="en-US" w:eastAsia="zh-CN" w:bidi="ar"/>
        </w:rPr>
        <w:t xml:space="preserve"> 乙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p>
    <w:p w14:paraId="35D302F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地  址：</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地  址：</w:t>
      </w:r>
      <w:r>
        <w:rPr>
          <w:rFonts w:hint="eastAsia" w:ascii="宋体" w:hAnsi="宋体" w:eastAsia="宋体" w:cs="宋体"/>
          <w:color w:val="auto"/>
          <w:sz w:val="21"/>
          <w:szCs w:val="21"/>
          <w:highlight w:val="none"/>
          <w:u w:val="single"/>
          <w:lang w:bidi="ar"/>
        </w:rPr>
        <w:t xml:space="preserve">                     </w:t>
      </w:r>
    </w:p>
    <w:p w14:paraId="565D7D7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邮政编码：</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邮政编码：</w:t>
      </w:r>
      <w:r>
        <w:rPr>
          <w:rFonts w:hint="eastAsia" w:ascii="宋体" w:hAnsi="宋体" w:eastAsia="宋体" w:cs="宋体"/>
          <w:color w:val="auto"/>
          <w:sz w:val="21"/>
          <w:szCs w:val="21"/>
          <w:highlight w:val="none"/>
          <w:u w:val="single"/>
          <w:lang w:bidi="ar"/>
        </w:rPr>
        <w:t xml:space="preserve">                   </w:t>
      </w:r>
    </w:p>
    <w:p w14:paraId="301CEB8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法定代表人或其授权                 法定代表人或其授权</w:t>
      </w:r>
    </w:p>
    <w:p w14:paraId="5B21D9F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的代理人：</w:t>
      </w:r>
      <w:r>
        <w:rPr>
          <w:rFonts w:hint="eastAsia" w:ascii="宋体" w:hAnsi="宋体" w:eastAsia="宋体" w:cs="宋体"/>
          <w:color w:val="auto"/>
          <w:sz w:val="21"/>
          <w:szCs w:val="21"/>
          <w:highlight w:val="none"/>
          <w:u w:val="single"/>
          <w:lang w:bidi="ar"/>
        </w:rPr>
        <w:t xml:space="preserve">（签字）         </w:t>
      </w:r>
      <w:r>
        <w:rPr>
          <w:rFonts w:hint="eastAsia" w:ascii="宋体" w:hAnsi="宋体" w:eastAsia="宋体" w:cs="宋体"/>
          <w:color w:val="auto"/>
          <w:sz w:val="21"/>
          <w:szCs w:val="21"/>
          <w:highlight w:val="none"/>
          <w:lang w:bidi="ar"/>
        </w:rPr>
        <w:t xml:space="preserve">        的代理人：</w:t>
      </w:r>
      <w:r>
        <w:rPr>
          <w:rFonts w:hint="eastAsia" w:ascii="宋体" w:hAnsi="宋体" w:eastAsia="宋体" w:cs="宋体"/>
          <w:color w:val="auto"/>
          <w:sz w:val="21"/>
          <w:szCs w:val="21"/>
          <w:highlight w:val="none"/>
          <w:u w:val="single"/>
          <w:lang w:bidi="ar"/>
        </w:rPr>
        <w:t xml:space="preserve">（签字）           </w:t>
      </w:r>
    </w:p>
    <w:p w14:paraId="67A3DC88">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开户银行：</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开户银行：</w:t>
      </w:r>
      <w:r>
        <w:rPr>
          <w:rFonts w:hint="eastAsia" w:ascii="宋体" w:hAnsi="宋体" w:eastAsia="宋体" w:cs="宋体"/>
          <w:color w:val="auto"/>
          <w:sz w:val="21"/>
          <w:szCs w:val="21"/>
          <w:highlight w:val="none"/>
          <w:u w:val="single"/>
          <w:lang w:bidi="ar"/>
        </w:rPr>
        <w:t xml:space="preserve">                   </w:t>
      </w:r>
    </w:p>
    <w:p w14:paraId="62A142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账号：</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账号：</w:t>
      </w:r>
      <w:r>
        <w:rPr>
          <w:rFonts w:hint="eastAsia" w:ascii="宋体" w:hAnsi="宋体" w:eastAsia="宋体" w:cs="宋体"/>
          <w:color w:val="auto"/>
          <w:sz w:val="21"/>
          <w:szCs w:val="21"/>
          <w:highlight w:val="none"/>
          <w:u w:val="single"/>
          <w:lang w:bidi="ar"/>
        </w:rPr>
        <w:t xml:space="preserve">                       </w:t>
      </w:r>
    </w:p>
    <w:p w14:paraId="6F0A8F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电话：</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电话：</w:t>
      </w:r>
      <w:r>
        <w:rPr>
          <w:rFonts w:hint="eastAsia" w:ascii="宋体" w:hAnsi="宋体" w:eastAsia="宋体" w:cs="宋体"/>
          <w:color w:val="auto"/>
          <w:sz w:val="21"/>
          <w:szCs w:val="21"/>
          <w:highlight w:val="none"/>
          <w:u w:val="single"/>
          <w:lang w:bidi="ar"/>
        </w:rPr>
        <w:t xml:space="preserve">                       </w:t>
      </w:r>
    </w:p>
    <w:p w14:paraId="2C0406F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传真：</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传真：</w:t>
      </w:r>
      <w:r>
        <w:rPr>
          <w:rFonts w:hint="eastAsia" w:ascii="宋体" w:hAnsi="宋体" w:eastAsia="宋体" w:cs="宋体"/>
          <w:color w:val="auto"/>
          <w:sz w:val="21"/>
          <w:szCs w:val="21"/>
          <w:highlight w:val="none"/>
          <w:u w:val="single"/>
          <w:lang w:bidi="ar"/>
        </w:rPr>
        <w:t xml:space="preserve">                       </w:t>
      </w:r>
    </w:p>
    <w:p w14:paraId="2CA798B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zh-CN" w:bidi="ar"/>
        </w:rPr>
      </w:pPr>
      <w:r>
        <w:rPr>
          <w:rFonts w:hint="eastAsia" w:ascii="宋体" w:hAnsi="宋体" w:eastAsia="宋体" w:cs="宋体"/>
          <w:color w:val="auto"/>
          <w:sz w:val="21"/>
          <w:szCs w:val="21"/>
          <w:highlight w:val="none"/>
          <w:lang w:bidi="ar"/>
        </w:rPr>
        <w:t>电子邮箱：</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电子邮箱：</w:t>
      </w:r>
      <w:r>
        <w:rPr>
          <w:rFonts w:hint="eastAsia" w:ascii="宋体" w:hAnsi="宋体" w:eastAsia="宋体" w:cs="宋体"/>
          <w:color w:val="auto"/>
          <w:sz w:val="21"/>
          <w:szCs w:val="21"/>
          <w:highlight w:val="none"/>
          <w:u w:val="single"/>
          <w:lang w:bidi="ar"/>
        </w:rPr>
        <w:t xml:space="preserve">                   </w:t>
      </w:r>
    </w:p>
    <w:p w14:paraId="4D8DFA0B">
      <w:pPr>
        <w:pStyle w:val="6"/>
        <w:shd w:val="clear"/>
        <w:rPr>
          <w:rFonts w:hint="eastAsia" w:ascii="宋体" w:hAnsi="宋体" w:eastAsia="宋体" w:cs="宋体"/>
          <w:color w:val="auto"/>
          <w:highlight w:val="none"/>
          <w:lang w:val="en-US" w:eastAsia="zh-Hans"/>
        </w:rPr>
      </w:pPr>
    </w:p>
    <w:p w14:paraId="424A299A">
      <w:bookmarkStart w:id="7" w:name="_GoBack"/>
      <w:bookmarkEnd w:id="7"/>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B64E">
    <w:pPr>
      <w:pStyle w:val="3"/>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D439A3"/>
    <w:rsid w:val="3BD43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2026-05-06T08:21:00Z</dcterms:created>
  <dc:creator>ZBB</dc:creator>
  <cp:lastModifiedBy>ZBB</cp:lastModifiedBy>
  <dcterms:modified xsi:type="dcterms:W3CDTF">2026-05-06T08:22:14Z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98EC79CC30E64FBA8FA0CBBC36A61F48_11</vt:lpwstr>
  </property>
  <property fmtid="{D5CDD505-2E9C-101B-9397-08002B2CF9AE}" pid="4" name="KSOTemplateDocerSaveRecord">
    <vt:lpwstr>eyJoZGlkIjoiOTZlMjIwZDU1YzM1YzYzMzlmOTYzOGVmN2ViZjZjMjQiLCJ1c2VySWQiOiIyNjQ2NDU1NDQifQ==</vt:lpwstr>
  </property>
</Properties>
</file>