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版本号：LZBA2026-81920260720001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雁塔校区15号楼消防专项整改工程项目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LZBA2026-819</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雁塔校区15号楼消防专项整改工程项目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LZBA2026-819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雁塔校区15号楼消防专项整改工程项目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学校雁塔校区15号楼（41242㎡）进行消防专项整改，重点围绕2024年辖区住建部门开具的技术服务函提出的隐患问题展开整改，主要包括消防电系统、消防水系统、消防防排烟系统和建筑防火等系统进行工程整改。（具体工程量详见后附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采购包1（雁塔校区15号楼消防专项整改工程）：属于专门面向中小企业采购。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响应文件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2、供应商资质：供应商须具备建设行政主管部门颁发的消防设施工程专业承包二级及以上资质，并具备有效的安全生产许可证，供应商需在项目电子化交易系统中按要求上传相应证明文件并进行电子签章。</w:t>
      </w:r>
    </w:p>
    <w:p>
      <w:pPr>
        <w:pStyle w:val="null3"/>
      </w:pPr>
      <w:r>
        <w:rPr>
          <w:rFonts w:ascii="仿宋_GB2312" w:hAnsi="仿宋_GB2312" w:cs="仿宋_GB2312" w:eastAsia="仿宋_GB2312"/>
        </w:rPr>
        <w:t>3、拟派项目经理资格：供应商拟派项目经理须具备机电工程专业二级及以上注册建造师资格及有效的安全生产考核B证，在本单位注册，且无在建项目（提供承诺函），供应商需在项目电子化交易系统中按要求上传相应证明文件并进行电子签章。</w:t>
      </w:r>
    </w:p>
    <w:p>
      <w:pPr>
        <w:pStyle w:val="null3"/>
      </w:pPr>
      <w:r>
        <w:rPr>
          <w:rFonts w:ascii="仿宋_GB2312" w:hAnsi="仿宋_GB2312" w:cs="仿宋_GB2312" w:eastAsia="仿宋_GB2312"/>
        </w:rPr>
        <w:t>4、供应商基本信息及拟派项目经理基本信息：供应商基本信息及拟派项目经理(建造师)的基本信息在“陕西省住房和城乡建设厅网站(http://js.shaanxi.gov.cn/)”可查询，供应商需在项目电子化交易系统中按要求上传相应证明文件并进行电子签章。截图不全或不清晰的以采购人或采购代理机构磋商当日现场查询为准</w:t>
      </w:r>
    </w:p>
    <w:p>
      <w:pPr>
        <w:pStyle w:val="null3"/>
      </w:pPr>
      <w:r>
        <w:rPr>
          <w:rFonts w:ascii="仿宋_GB2312" w:hAnsi="仿宋_GB2312" w:cs="仿宋_GB2312" w:eastAsia="仿宋_GB2312"/>
        </w:rPr>
        <w:t>5、信用查询：供应商不得为“信用中国”网站（www.creditchina.gov.cn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张钰晴、刘婧、刘强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采购包1：2,986,733.66元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说明：中标/成交供应商在与采购人签订合同前，须缴纳履约保证金；履约保证金金额为成交金额的5%，不足1万元的按1万元收取。待验收合格后凭验收单和缴款收据，履约保证金予以无息退还。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工程类下浮10%执行。2、中标单位在领取中标通知书之前，须向代理机构支付招标代理服务费。 招标代理服务费以转账或现金形式缴纳至以下账户： 开户名称：龙寰项目管理咨询有限公司 开户银行：平安银行西安高新路支行 账 号：30201278018884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西安外国语大学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达到国家相关规范要求，协助学校取得属地住建消防等部门多方认可的合格评估论证意见函。</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2,986,733.66</w:t>
      </w:r>
    </w:p>
    <w:p>
      <w:pPr>
        <w:pStyle w:val="null3"/>
      </w:pPr>
      <w:r>
        <w:rPr>
          <w:rFonts w:ascii="仿宋_GB2312" w:hAnsi="仿宋_GB2312" w:cs="仿宋_GB2312" w:eastAsia="仿宋_GB2312"/>
        </w:rPr>
        <w:t>采购包最高限价（元）: 2,986,733.66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雁塔校区15号楼消防专项整改工程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2,986,733.66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标的名称：雁塔校区15号楼消防专项整改工程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对学校雁塔校区</w:t>
            </w:r>
            <w:r>
              <w:rPr>
                <w:rFonts w:ascii="仿宋_GB2312" w:hAnsi="仿宋_GB2312" w:cs="仿宋_GB2312" w:eastAsia="仿宋_GB2312"/>
              </w:rPr>
              <w:t>15号楼（41242㎡）进行消防专项整改，重点围绕2024年辖区住建部门开具的技术服务函提出的隐患问题展开整改，主要包括消防电系统、消防水系统、消防防排烟系统和建筑防火等系统进行工程整改。（具体工程量详见后附清单）</w:t>
            </w:r>
          </w:p>
          <w:p>
            <w:pPr>
              <w:pStyle w:val="null3"/>
            </w:pPr>
            <w:r>
              <w:rPr>
                <w:rFonts w:ascii="仿宋_GB2312" w:hAnsi="仿宋_GB2312" w:cs="仿宋_GB2312" w:eastAsia="仿宋_GB2312"/>
              </w:rPr>
              <w:t>二、工程内容和施工地点、计划工期、缺陷责任期、质量保修期</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）工程内容：</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主要包括消防电系统、消防水系统、消防防排烟系统和建筑防火等系统进行工程整改。（具体工程量详见后附清单）</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）计划工期：</w:t>
            </w:r>
            <w:r>
              <w:rPr>
                <w:rFonts w:ascii="仿宋_GB2312" w:hAnsi="仿宋_GB2312" w:cs="仿宋_GB2312" w:eastAsia="仿宋_GB2312"/>
              </w:rPr>
              <w:t>自合同签订之日起</w:t>
            </w:r>
            <w:r>
              <w:rPr>
                <w:rFonts w:ascii="仿宋_GB2312" w:hAnsi="仿宋_GB2312" w:cs="仿宋_GB2312" w:eastAsia="仿宋_GB2312"/>
              </w:rPr>
              <w:t>至</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10</w:t>
            </w:r>
            <w:r>
              <w:rPr>
                <w:rFonts w:ascii="仿宋_GB2312" w:hAnsi="仿宋_GB2312" w:cs="仿宋_GB2312" w:eastAsia="仿宋_GB2312"/>
              </w:rPr>
              <w:t>月</w:t>
            </w:r>
            <w:r>
              <w:rPr>
                <w:rFonts w:ascii="仿宋_GB2312" w:hAnsi="仿宋_GB2312" w:cs="仿宋_GB2312" w:eastAsia="仿宋_GB2312"/>
              </w:rPr>
              <w:t>15</w:t>
            </w:r>
            <w:r>
              <w:rPr>
                <w:rFonts w:ascii="仿宋_GB2312" w:hAnsi="仿宋_GB2312" w:cs="仿宋_GB2312" w:eastAsia="仿宋_GB2312"/>
              </w:rPr>
              <w:t>日。</w:t>
            </w:r>
          </w:p>
          <w:p>
            <w:pPr>
              <w:pStyle w:val="null3"/>
            </w:pPr>
            <w:r>
              <w:rPr>
                <w:rFonts w:ascii="仿宋_GB2312" w:hAnsi="仿宋_GB2312" w:cs="仿宋_GB2312" w:eastAsia="仿宋_GB2312"/>
              </w:rPr>
              <w:t>（三）质保期：验收合格后</w:t>
            </w:r>
            <w:r>
              <w:rPr>
                <w:rFonts w:ascii="仿宋_GB2312" w:hAnsi="仿宋_GB2312" w:cs="仿宋_GB2312" w:eastAsia="仿宋_GB2312"/>
              </w:rPr>
              <w:t>24</w:t>
            </w:r>
            <w:r>
              <w:rPr>
                <w:rFonts w:ascii="仿宋_GB2312" w:hAnsi="仿宋_GB2312" w:cs="仿宋_GB2312" w:eastAsia="仿宋_GB2312"/>
              </w:rPr>
              <w:t>月。</w:t>
            </w:r>
          </w:p>
          <w:p>
            <w:pPr>
              <w:pStyle w:val="null3"/>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费用计取</w:t>
            </w:r>
          </w:p>
          <w:p>
            <w:pPr>
              <w:pStyle w:val="null3"/>
            </w:pPr>
            <w:r>
              <w:rPr>
                <w:rFonts w:ascii="仿宋_GB2312" w:hAnsi="仿宋_GB2312" w:cs="仿宋_GB2312" w:eastAsia="仿宋_GB2312"/>
              </w:rPr>
              <w:t>1、</w:t>
            </w:r>
            <w:r>
              <w:rPr>
                <w:rFonts w:ascii="仿宋_GB2312" w:hAnsi="仿宋_GB2312" w:cs="仿宋_GB2312" w:eastAsia="仿宋_GB2312"/>
              </w:rPr>
              <w:t>本项目暂列金额按</w:t>
            </w:r>
            <w:r>
              <w:rPr>
                <w:rFonts w:ascii="仿宋_GB2312" w:hAnsi="仿宋_GB2312" w:cs="仿宋_GB2312" w:eastAsia="仿宋_GB2312"/>
              </w:rPr>
              <w:t>21万元计入预留金单位工程《暂列金额、专业工程暂估价、总承包服务费》其他项目 “暂列金额”栏目中</w:t>
            </w:r>
            <w:r>
              <w:rPr>
                <w:rFonts w:ascii="仿宋_GB2312" w:hAnsi="仿宋_GB2312" w:cs="仿宋_GB2312" w:eastAsia="仿宋_GB2312"/>
              </w:rPr>
              <w:t>，投标人投标报价时不得随意调整；</w:t>
            </w:r>
          </w:p>
          <w:p>
            <w:pPr>
              <w:pStyle w:val="null3"/>
            </w:pP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）采购资金的支付方式：预付款为合同金额的</w:t>
            </w:r>
            <w:r>
              <w:rPr>
                <w:rFonts w:ascii="仿宋_GB2312" w:hAnsi="仿宋_GB2312" w:cs="仿宋_GB2312" w:eastAsia="仿宋_GB2312"/>
              </w:rPr>
              <w:t>40%，工程款待工程竣工验收合格后付至合同金额的</w:t>
            </w:r>
            <w:r>
              <w:rPr>
                <w:rFonts w:ascii="仿宋_GB2312" w:hAnsi="仿宋_GB2312" w:cs="仿宋_GB2312" w:eastAsia="仿宋_GB2312"/>
              </w:rPr>
              <w:t>8</w:t>
            </w:r>
            <w:r>
              <w:rPr>
                <w:rFonts w:ascii="仿宋_GB2312" w:hAnsi="仿宋_GB2312" w:cs="仿宋_GB2312" w:eastAsia="仿宋_GB2312"/>
              </w:rPr>
              <w:t>0% ；经学校审计并出具审计报告后付至审定金额</w:t>
            </w:r>
            <w:r>
              <w:rPr>
                <w:rFonts w:ascii="仿宋_GB2312" w:hAnsi="仿宋_GB2312" w:cs="仿宋_GB2312" w:eastAsia="仿宋_GB2312"/>
              </w:rPr>
              <w:t>97%</w:t>
            </w:r>
            <w:r>
              <w:rPr>
                <w:rFonts w:ascii="仿宋_GB2312" w:hAnsi="仿宋_GB2312" w:cs="仿宋_GB2312" w:eastAsia="仿宋_GB2312"/>
              </w:rPr>
              <w:t xml:space="preserve"> </w:t>
            </w:r>
            <w:r>
              <w:rPr>
                <w:rFonts w:ascii="仿宋_GB2312" w:hAnsi="仿宋_GB2312" w:cs="仿宋_GB2312" w:eastAsia="仿宋_GB2312"/>
              </w:rPr>
              <w:t>；剩余审定金额的</w:t>
            </w:r>
            <w:r>
              <w:rPr>
                <w:rFonts w:ascii="仿宋_GB2312" w:hAnsi="仿宋_GB2312" w:cs="仿宋_GB2312" w:eastAsia="仿宋_GB2312"/>
              </w:rPr>
              <w:t>3%作为质保金，本项目质保期为2年，质保期满后无质量问题一次性付清（不计利息）。</w:t>
            </w:r>
          </w:p>
          <w:p>
            <w:pPr>
              <w:pStyle w:val="null3"/>
            </w:pPr>
            <w:r>
              <w:rPr>
                <w:rFonts w:ascii="仿宋_GB2312" w:hAnsi="仿宋_GB2312" w:cs="仿宋_GB2312" w:eastAsia="仿宋_GB2312"/>
              </w:rPr>
              <w:t>三、工程量清单和计价依据</w:t>
            </w:r>
          </w:p>
          <w:p>
            <w:pPr>
              <w:pStyle w:val="null3"/>
            </w:pPr>
            <w:r>
              <w:rPr>
                <w:rFonts w:ascii="仿宋_GB2312" w:hAnsi="仿宋_GB2312" w:cs="仿宋_GB2312" w:eastAsia="仿宋_GB2312"/>
              </w:rPr>
              <w:t>（一）工程量清单：见工程量清单。</w:t>
            </w:r>
          </w:p>
          <w:p>
            <w:pPr>
              <w:pStyle w:val="null3"/>
            </w:pPr>
            <w:r>
              <w:rPr>
                <w:rFonts w:ascii="仿宋_GB2312" w:hAnsi="仿宋_GB2312" w:cs="仿宋_GB2312" w:eastAsia="仿宋_GB2312"/>
              </w:rPr>
              <w:t>（二）计价依据：</w:t>
            </w:r>
          </w:p>
          <w:p>
            <w:pPr>
              <w:pStyle w:val="null3"/>
            </w:pPr>
            <w:r>
              <w:rPr>
                <w:rFonts w:ascii="仿宋_GB2312" w:hAnsi="仿宋_GB2312" w:cs="仿宋_GB2312" w:eastAsia="仿宋_GB2312"/>
              </w:rPr>
              <w:t>1、（1）《西安外国语大学雁塔校区15号楼消防专项整改工程项目》设计图纸及答疑文件；</w:t>
            </w:r>
          </w:p>
          <w:p>
            <w:pPr>
              <w:pStyle w:val="null3"/>
            </w:pPr>
            <w:r>
              <w:rPr>
                <w:rFonts w:ascii="仿宋_GB2312" w:hAnsi="仿宋_GB2312" w:cs="仿宋_GB2312" w:eastAsia="仿宋_GB2312"/>
              </w:rPr>
              <w:t>（</w:t>
            </w:r>
            <w:r>
              <w:rPr>
                <w:rFonts w:ascii="仿宋_GB2312" w:hAnsi="仿宋_GB2312" w:cs="仿宋_GB2312" w:eastAsia="仿宋_GB2312"/>
              </w:rPr>
              <w:t>2）《陕西省建设工程工程量清单计价标准》（2025）及《陕西省建设工程费用规则》（2025）；</w:t>
            </w:r>
          </w:p>
          <w:p>
            <w:pPr>
              <w:pStyle w:val="null3"/>
            </w:pPr>
            <w:r>
              <w:rPr>
                <w:rFonts w:ascii="仿宋_GB2312" w:hAnsi="仿宋_GB2312" w:cs="仿宋_GB2312" w:eastAsia="仿宋_GB2312"/>
              </w:rPr>
              <w:t>（</w:t>
            </w:r>
            <w:r>
              <w:rPr>
                <w:rFonts w:ascii="仿宋_GB2312" w:hAnsi="仿宋_GB2312" w:cs="仿宋_GB2312" w:eastAsia="仿宋_GB2312"/>
              </w:rPr>
              <w:t>3）《陕西省房屋建筑与装饰工程工程量计算标准》（2025）、《陕西省市政工程工程量计算标准》（2025）、《陕西省通用安装工程工程量计算标准》（2025）、《陕西省园林绿化工程工程量计算标准》（2025）；</w:t>
            </w:r>
          </w:p>
          <w:p>
            <w:pPr>
              <w:pStyle w:val="null3"/>
            </w:pPr>
            <w:r>
              <w:rPr>
                <w:rFonts w:ascii="仿宋_GB2312" w:hAnsi="仿宋_GB2312" w:cs="仿宋_GB2312" w:eastAsia="仿宋_GB2312"/>
              </w:rPr>
              <w:t>（</w:t>
            </w:r>
            <w:r>
              <w:rPr>
                <w:rFonts w:ascii="仿宋_GB2312" w:hAnsi="仿宋_GB2312" w:cs="仿宋_GB2312" w:eastAsia="仿宋_GB2312"/>
              </w:rPr>
              <w:t>4）《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w:t>
            </w:r>
          </w:p>
          <w:p>
            <w:pPr>
              <w:pStyle w:val="null3"/>
            </w:pPr>
            <w:r>
              <w:rPr>
                <w:rFonts w:ascii="仿宋_GB2312" w:hAnsi="仿宋_GB2312" w:cs="仿宋_GB2312" w:eastAsia="仿宋_GB2312"/>
              </w:rPr>
              <w:t>（</w:t>
            </w:r>
            <w:r>
              <w:rPr>
                <w:rFonts w:ascii="仿宋_GB2312" w:hAnsi="仿宋_GB2312" w:cs="仿宋_GB2312" w:eastAsia="仿宋_GB2312"/>
              </w:rPr>
              <w:t>5）《陕西省建设工程施工机械台班费用定额》（2025）、《陕西省建设工程施工仪器仪表台班费用定额》（2025）；</w:t>
            </w:r>
          </w:p>
          <w:p>
            <w:pPr>
              <w:pStyle w:val="null3"/>
            </w:pPr>
            <w:r>
              <w:rPr>
                <w:rFonts w:ascii="仿宋_GB2312" w:hAnsi="仿宋_GB2312" w:cs="仿宋_GB2312" w:eastAsia="仿宋_GB2312"/>
              </w:rPr>
              <w:t>（</w:t>
            </w:r>
            <w:r>
              <w:rPr>
                <w:rFonts w:ascii="仿宋_GB2312" w:hAnsi="仿宋_GB2312" w:cs="仿宋_GB2312" w:eastAsia="仿宋_GB2312"/>
              </w:rPr>
              <w:t>6）与建设工程项目有关的标准、规范、图集、技术资料；</w:t>
            </w:r>
          </w:p>
          <w:p>
            <w:pPr>
              <w:pStyle w:val="null3"/>
            </w:pPr>
            <w:r>
              <w:rPr>
                <w:rFonts w:ascii="仿宋_GB2312" w:hAnsi="仿宋_GB2312" w:cs="仿宋_GB2312" w:eastAsia="仿宋_GB2312"/>
              </w:rPr>
              <w:t>（</w:t>
            </w:r>
            <w:r>
              <w:rPr>
                <w:rFonts w:ascii="仿宋_GB2312" w:hAnsi="仿宋_GB2312" w:cs="仿宋_GB2312" w:eastAsia="仿宋_GB2312"/>
              </w:rPr>
              <w:t>7）结合施工现场情况、工程特点参照常规的施工方案；</w:t>
            </w:r>
          </w:p>
          <w:p>
            <w:pPr>
              <w:pStyle w:val="null3"/>
            </w:pPr>
            <w:r>
              <w:rPr>
                <w:rFonts w:ascii="仿宋_GB2312" w:hAnsi="仿宋_GB2312" w:cs="仿宋_GB2312" w:eastAsia="仿宋_GB2312"/>
              </w:rPr>
              <w:t>（</w:t>
            </w:r>
            <w:r>
              <w:rPr>
                <w:rFonts w:ascii="仿宋_GB2312" w:hAnsi="仿宋_GB2312" w:cs="仿宋_GB2312" w:eastAsia="仿宋_GB2312"/>
              </w:rPr>
              <w:t>8）其他相关资料。</w:t>
            </w:r>
          </w:p>
          <w:p>
            <w:pPr>
              <w:pStyle w:val="null3"/>
            </w:pPr>
            <w:r>
              <w:rPr>
                <w:rFonts w:ascii="仿宋_GB2312" w:hAnsi="仿宋_GB2312" w:cs="仿宋_GB2312" w:eastAsia="仿宋_GB2312"/>
              </w:rPr>
              <w:t>（三）采用广联达计价软件版本</w:t>
            </w:r>
            <w:r>
              <w:rPr>
                <w:rFonts w:ascii="仿宋_GB2312" w:hAnsi="仿宋_GB2312" w:cs="仿宋_GB2312" w:eastAsia="仿宋_GB2312"/>
              </w:rPr>
              <w:t>GCCP7.0：7.5000.23.3</w:t>
            </w:r>
          </w:p>
          <w:p>
            <w:pPr>
              <w:pStyle w:val="null3"/>
            </w:pPr>
            <w:r>
              <w:rPr>
                <w:rFonts w:ascii="仿宋_GB2312" w:hAnsi="仿宋_GB2312" w:cs="仿宋_GB2312" w:eastAsia="仿宋_GB2312"/>
              </w:rPr>
              <w:t>2.</w:t>
            </w:r>
            <w:r>
              <w:rPr>
                <w:rFonts w:ascii="仿宋_GB2312" w:hAnsi="仿宋_GB2312" w:cs="仿宋_GB2312" w:eastAsia="仿宋_GB2312"/>
              </w:rPr>
              <w:t>工程验收的主要依据、标准及要求：</w:t>
            </w:r>
          </w:p>
          <w:p>
            <w:pPr>
              <w:pStyle w:val="null3"/>
            </w:pPr>
            <w:r>
              <w:rPr>
                <w:rFonts w:ascii="仿宋_GB2312" w:hAnsi="仿宋_GB2312" w:cs="仿宋_GB2312" w:eastAsia="仿宋_GB2312"/>
              </w:rPr>
              <w:t>参照下列国家标准要求：</w:t>
            </w:r>
            <w:r>
              <w:rPr>
                <w:rFonts w:ascii="仿宋_GB2312" w:hAnsi="仿宋_GB2312" w:cs="仿宋_GB2312" w:eastAsia="仿宋_GB2312"/>
              </w:rPr>
              <w:t>1.GB 55036-2022 消防设施通用规范； 2.GB 55037-2022 建筑防火通用规范；3.GB 50016-2014（2018 年版）《建筑设计防火规范》； 4.GB 50974-2014 消防给水及消火栓系统技术规范 ；5.GB 50084-2017 自动喷水灭火系统设计规范； 6.GB 50116-2013 火灾自动报警系统设计规范； 7.GB 51251-2017 建筑防烟排烟系统技术标准 ；8.GB 51309-2018 消防应急照明和疏散指示系统技术标准 ；9.GB 25972-2024 气体灭火系统设计规范 ；10.GB 17945-2024 消防应急照明和疏散指示系统；11.GB 4717-2024 火灾报警控制器 ；12.GB 4716-2024 点型感烟火灾探测器；13.GB 23864-2024 防火封堵材料；14.GB 25506-2024 消防控制室通用技术要求；15.GB 12955-2024 防火门。 如有最新颁布的规范标准，按最新的文件执行。</w:t>
            </w:r>
          </w:p>
          <w:p>
            <w:pPr>
              <w:pStyle w:val="null3"/>
            </w:pPr>
            <w:r>
              <w:rPr>
                <w:rFonts w:ascii="仿宋_GB2312" w:hAnsi="仿宋_GB2312" w:cs="仿宋_GB2312" w:eastAsia="仿宋_GB2312"/>
              </w:rPr>
              <w:t>3.施工现场情况及常规的施工组织方案和工程验收规范；</w:t>
            </w:r>
          </w:p>
          <w:p>
            <w:pPr>
              <w:pStyle w:val="null3"/>
            </w:pPr>
            <w:r>
              <w:rPr>
                <w:rFonts w:ascii="仿宋_GB2312" w:hAnsi="仿宋_GB2312" w:cs="仿宋_GB2312" w:eastAsia="仿宋_GB2312"/>
              </w:rPr>
              <w:t>四、</w:t>
            </w:r>
            <w:r>
              <w:rPr>
                <w:rFonts w:ascii="仿宋_GB2312" w:hAnsi="仿宋_GB2312" w:cs="仿宋_GB2312" w:eastAsia="仿宋_GB2312"/>
              </w:rPr>
              <w:t>验收</w:t>
            </w:r>
            <w:r>
              <w:rPr>
                <w:rFonts w:ascii="仿宋_GB2312" w:hAnsi="仿宋_GB2312" w:cs="仿宋_GB2312" w:eastAsia="仿宋_GB2312"/>
              </w:rPr>
              <w:t>要求</w:t>
            </w:r>
          </w:p>
          <w:p>
            <w:pPr>
              <w:pStyle w:val="null3"/>
            </w:pPr>
            <w:r>
              <w:rPr>
                <w:rFonts w:ascii="仿宋_GB2312" w:hAnsi="仿宋_GB2312" w:cs="仿宋_GB2312" w:eastAsia="仿宋_GB2312"/>
              </w:rPr>
              <w:t>达到国家相关规范要求，协助学校取得属地住建消防等部门多方认可的合格评估论证意见函。</w:t>
            </w:r>
          </w:p>
          <w:p>
            <w:pPr>
              <w:pStyle w:val="null3"/>
            </w:pPr>
            <w:r>
              <w:rPr>
                <w:rFonts w:ascii="仿宋_GB2312" w:hAnsi="仿宋_GB2312" w:cs="仿宋_GB2312" w:eastAsia="仿宋_GB2312"/>
              </w:rPr>
              <w:t>五、</w:t>
            </w:r>
            <w:r>
              <w:rPr>
                <w:rFonts w:ascii="仿宋_GB2312" w:hAnsi="仿宋_GB2312" w:cs="仿宋_GB2312" w:eastAsia="仿宋_GB2312"/>
              </w:rPr>
              <w:t>其他要求：</w:t>
            </w:r>
          </w:p>
          <w:p>
            <w:pPr>
              <w:pStyle w:val="null3"/>
            </w:pPr>
            <w:r>
              <w:rPr>
                <w:rFonts w:ascii="仿宋_GB2312" w:hAnsi="仿宋_GB2312" w:cs="仿宋_GB2312" w:eastAsia="仿宋_GB2312"/>
              </w:rPr>
              <w:t>1.幼儿园至15号楼室外埋管和检查井已预留到位，本次仅考虑车库到幼儿园开挖长度约5m；路面开挖及恢复做法按图纸答疑计入，为厚度22cm。</w:t>
            </w:r>
          </w:p>
          <w:p>
            <w:pPr>
              <w:pStyle w:val="null3"/>
            </w:pPr>
            <w:r>
              <w:rPr>
                <w:rFonts w:ascii="仿宋_GB2312" w:hAnsi="仿宋_GB2312" w:cs="仿宋_GB2312" w:eastAsia="仿宋_GB2312"/>
              </w:rPr>
              <w:t>2.应急照明系统本次全部按图纸新增计入；</w:t>
            </w:r>
          </w:p>
          <w:p>
            <w:pPr>
              <w:pStyle w:val="null3"/>
            </w:pPr>
            <w:r>
              <w:rPr>
                <w:rFonts w:ascii="仿宋_GB2312" w:hAnsi="仿宋_GB2312" w:cs="仿宋_GB2312" w:eastAsia="仿宋_GB2312"/>
              </w:rPr>
              <w:t>3.消防控制室设备品牌与本楼现有设备品牌不一致,报警设备全部更换,原有管线按利旧考虑；</w:t>
            </w:r>
          </w:p>
          <w:p>
            <w:pPr>
              <w:pStyle w:val="null3"/>
            </w:pPr>
            <w:r>
              <w:rPr>
                <w:rFonts w:ascii="仿宋_GB2312" w:hAnsi="仿宋_GB2312" w:cs="仿宋_GB2312" w:eastAsia="仿宋_GB2312"/>
              </w:rPr>
              <w:t>4.消防水改造增加室内消火栓箱，接入原有消火栓管网；</w:t>
            </w:r>
          </w:p>
          <w:p>
            <w:pPr>
              <w:pStyle w:val="null3"/>
            </w:pPr>
            <w:r>
              <w:rPr>
                <w:rFonts w:ascii="仿宋_GB2312" w:hAnsi="仿宋_GB2312" w:cs="仿宋_GB2312" w:eastAsia="仿宋_GB2312"/>
              </w:rPr>
              <w:t>5.管道及支架刷油与原有刷油保持一致。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达到国家相关规范要求，协助学校取得属地住建消防等部门多方认可的合格评估论证意见函</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响应时效：响应时效：即时响应（包括电话响应）；电话响应无法解决3小时内到达现场。修复时间8小时内解决；如24小时内无法修复，应提供相应解决方案。</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3、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4、本项目专门面向中小企业采购，（残疾人福利性单位、监狱企业视同小型、微型企业）。 5、未按合同要求提供服务或服务不能满足合同要求，采购人有权依据《中华人民共和国民法典》有关条款及合同约定终止合同，并要求供应商承担违约责任。同时，政府采购监管部门有权依据《中华人民共和国政府采购法》及相关法律法规对供应商的违法行为进行相应的处罚。6、技术负责人（总工程师）：具体要求详见评分标准条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年度或2025年度经审计的财务报告或响应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投标人应提交的资格证明材料.pdf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完整的财务审计报告（成立时间至提交磋商响应文件截止时间不足一年的可提供成立后任意时段的资产负债表），或其开标前三个月内基本存款账户开户银行出具的资信证明，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投标人应提交的资格证明材料.pdf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响应文件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法定代表人身份证明书及授权书.pdf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供应商须具备建设行政主管部门颁发的消防设施工程专业承包二级及以上资质，并具备有效的安全生产许可证，供应商需在项目电子化交易系统中按要求上传相应证明文件并进行电子签章。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供应商拟派项目经理须具备机电工程专业二级及以上注册建造师资格及有效的安全生产考核B证，在本单位注册，且无在建项目（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供应商基本信息及拟派项目经理基本信息</w:t>
            </w:r>
          </w:p>
        </w:tc>
        <w:tc>
          <w:tcPr>
            <w:tcW w:type="dxa" w:w="3322"/>
          </w:tcPr>
          <w:p>
            <w:pPr>
              <w:pStyle w:val="null3"/>
            </w:pPr>
            <w:r>
              <w:rPr>
                <w:rFonts w:ascii="仿宋_GB2312" w:hAnsi="仿宋_GB2312" w:cs="仿宋_GB2312" w:eastAsia="仿宋_GB2312"/>
              </w:rPr>
              <w:t>供应商基本信息及拟派项目经理(建造师)的基本信息在“陕西省住房和城乡建设厅网站(http://js.shaanxi.gov.cn/)”可查询，供应商需在项目电子化交易系统中按要求上传相应证明文件并进行电子签章。截图不全或不清晰的以采购人或采购代理机构磋商当日现场查询为准</w:t>
            </w:r>
          </w:p>
        </w:tc>
        <w:tc>
          <w:tcPr>
            <w:tcW w:type="dxa" w:w="1661"/>
          </w:tcPr>
          <w:p>
            <w:pPr>
              <w:pStyle w:val="null3"/>
            </w:pPr>
            <w:r>
              <w:rPr>
                <w:rFonts w:ascii="仿宋_GB2312" w:hAnsi="仿宋_GB2312" w:cs="仿宋_GB2312" w:eastAsia="仿宋_GB2312"/>
              </w:rPr>
              <w:t>投标人应提交的资格证明材料.pdf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投标人应提交的资格证明材料.pdf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已标价工程量清单 磋商报价一览表.pdf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磋商报价一览表.pdf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磋商报价一览表.pdf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磋商报价一览表.pdf 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技术方案.pdf 商务条款偏离表.pdf 中小企业声明函 投标人应提交的资格证明材料.pdf 强制优先采购产品承诺函 响应文件封面 残疾人福利性单位声明函 磋商报价一览表.pdf 报价函 标的清单 响应函 监狱企业的证明文件 法定代表人身份证明书及授权书.pdf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商务及技术响应</w:t>
            </w:r>
          </w:p>
        </w:tc>
        <w:tc>
          <w:tcPr>
            <w:tcW w:type="dxa" w:w="3322"/>
          </w:tcPr>
          <w:p>
            <w:pPr>
              <w:pStyle w:val="null3"/>
            </w:pPr>
            <w:r>
              <w:rPr>
                <w:rFonts w:ascii="仿宋_GB2312" w:hAnsi="仿宋_GB2312" w:cs="仿宋_GB2312" w:eastAsia="仿宋_GB2312"/>
              </w:rPr>
              <w:t>投标内容不存在漏项或数量与要求不符合竞争性磋商文件规定情形，投标内容满足竞争性磋商文件的商务、技术等实质性要求，不存在采购档次降低或影响采购性能、功能的情形。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技术方案.pdf 商务条款偏离表.pdf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已标价工程量清单 技术方案.pdf 商务条款偏离表.pdf 中小企业声明函 投标人应提交的资格证明材料.pdf 强制优先采购产品承诺函 响应文件封面 残疾人福利性单位声明函 磋商报价一览表.pdf 报价函 标的清单 响应函 监狱企业的证明文件 法定代表人身份证明书及授权书.pdf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7月1日至今）类似项目业绩，每提供1个得1分，最高得4分；业绩证明以合同或中标通知书为准，须在文件中附合同的复印件（或扫描件）或中标通知书复印件（或扫描件）加盖单位公章。注：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w:t>
            </w:r>
          </w:p>
        </w:tc>
        <w:tc>
          <w:tcPr>
            <w:tcW w:type="dxa" w:w="2492"/>
          </w:tcPr>
          <w:p>
            <w:pPr>
              <w:pStyle w:val="null3"/>
            </w:pPr>
            <w:r>
              <w:rPr>
                <w:rFonts w:ascii="仿宋_GB2312" w:hAnsi="仿宋_GB2312" w:cs="仿宋_GB2312" w:eastAsia="仿宋_GB2312"/>
              </w:rPr>
              <w:t>1.拟派项目经理具备本科（含）以上学历的得2分，大专学历的得1分，其他情况不得分。 评审依据：以供应商提供的加盖公章的拟派项目经理学历证书的扫描件或复印件为准，提供多个学历或学位证书的，以最高学历为准，未提供的不得分。 2.拟派项目经理具备中级及以上职称的得4分，初级职称得2分，没有职称不得分。 评审依据：以供应商提供的加盖公章的拟派项目经理职称证书的扫描件或复印件为准，提供多个职称证书的，以最高职称为准，未提供的不得分。 3.供应商提供拟派项目经理自2023年7月1日以来至今已完成的类似项目的业绩证明材料（在该项目中担任项目经理一职）提供1项的得4分，未提供的不得分。评审依据：类似业绩证明材料以合同及竣工验收资料为准。业绩时间以合同所体现的时间为准。缺少资料或未按照上述要求提供的，均按照0分计入。企业业绩和拟派项目经理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拟派技术负责人执业资格、职称</w:t>
            </w:r>
          </w:p>
        </w:tc>
        <w:tc>
          <w:tcPr>
            <w:tcW w:type="dxa" w:w="2492"/>
          </w:tcPr>
          <w:p>
            <w:pPr>
              <w:pStyle w:val="null3"/>
            </w:pPr>
            <w:r>
              <w:rPr>
                <w:rFonts w:ascii="仿宋_GB2312" w:hAnsi="仿宋_GB2312" w:cs="仿宋_GB2312" w:eastAsia="仿宋_GB2312"/>
              </w:rPr>
              <w:t>1.拟派技术负责人具备机电工程专业二级及以上注册建造师资格和有效的安全生产考核B证得4分，缺少任何一项不得分。 评审依据：以供应商提供的加盖公章的拟派技术负责人注册建造师资格和有效的安全生产考核B证证书的扫描件或复印件为准，未提供的不得分。 2.拟派技术负责人具备中级及以上职称的得2分，没有职称不得分。 评审依据：以供应商提供的加盖公章的拟派技术负责人职称证书的扫描件或复印件为准，提供多个职称证书的，以最高职称为准，未提供的不得分。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有完善、针对性强、切实可行的实施方案。 1.方案内容完整详尽、科学合理、切实可行、针对性强，完全满足施工要求得5分； 2.方案基本完整、较合理可行、针对性不强、基本满足施工要求得3分； 3.方案简单、不能完全满足施工要求得1分；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 1.方案及措施内容完整详尽、科学合理、切实可行、针对性强，完全满足施工要求得5分； 2.方案及措施基本完整、较合理可行、针对性不强、基本满足施工要求得3分； 3.方案及措施简单、不能完全满足施工要求得1分；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项目组织机构及项目经理部组成人员</w:t>
            </w:r>
          </w:p>
        </w:tc>
        <w:tc>
          <w:tcPr>
            <w:tcW w:type="dxa" w:w="2492"/>
          </w:tcPr>
          <w:p>
            <w:pPr>
              <w:pStyle w:val="null3"/>
            </w:pPr>
            <w:r>
              <w:rPr>
                <w:rFonts w:ascii="仿宋_GB2312" w:hAnsi="仿宋_GB2312" w:cs="仿宋_GB2312" w:eastAsia="仿宋_GB2312"/>
              </w:rPr>
              <w:t>人员齐备、专业配套、相关岗位证书齐全。 1.项目经理及项目部人员配备齐全、专业配套、相关岗位证书齐全，满足项目实际要求得5分； 2.项目经理及项目部人员配备较合理、专业配套、相关岗位证书较齐全，基本满足项目实际要求得3分； 3.项目经理及项目部人员配备不够齐全得1分；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劳动力安排合理妥当，时间安排合理满足施工需求。 1.方案内容完整详尽、科学合理、切实可行、针对性强，完全满足施工要求得5分； 2.方案基本完整、较合理可行、针对性不强、基本满足施工要求得3分； 3.方案简单、不能完全满足施工要求得1分；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工程进度计划与措施，安排科学合理符合本项目施工实际要求。 1.方案内容完整详尽、科学合理、切实可行、针对性强，完全满足施工要求得5分； 2.方案基本完整、较合理可行、针对性不强、基本满足施工要求得3分； 3.方案简单、不能完全满足施工要求得1分；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 1.方案及措施内容完整详尽、科学合理、切实可行、针对性强，完全满足施工要求得5分； 2.方案及措施基本完整、较合理可行、针对性不强、基本满足施工要求得3分； 3.方案及措施简单、不能完全满足施工要求得1分；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安全管理人员配备合理，制度健全，各道工序安全技术措施针对性强，符合实际且满足要求措施是否完备齐全、先进、合理、切实可行。 1.方案及措施内容完整详尽、科学合理、切实可行、针对性强，完全满足施工要求得5分； 2.方案及措施基本完整、较合理可行、针对性不强、基本满足施工要求得3分； 3.方案及措施简单、不能完全满足施工要求得1分；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文明施工及环境保护管理措施</w:t>
            </w:r>
          </w:p>
        </w:tc>
        <w:tc>
          <w:tcPr>
            <w:tcW w:type="dxa" w:w="2492"/>
          </w:tcPr>
          <w:p>
            <w:pPr>
              <w:pStyle w:val="null3"/>
            </w:pPr>
            <w:r>
              <w:rPr>
                <w:rFonts w:ascii="仿宋_GB2312" w:hAnsi="仿宋_GB2312" w:cs="仿宋_GB2312" w:eastAsia="仿宋_GB2312"/>
              </w:rPr>
              <w:t>有现场文明施工计划和环境保护措施，且各项措施周全、具体、有效。 1.方案及措施内容完整详尽、科学合理、切实可行、针对性强，完全满足施工要求得5分； 2.方案及措施基本完整、较合理可行、针对性不强、基本满足施工要求得3分； 3.方案及措施简单、不能完全满足施工要求得1分；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投入的施工机械、设备、机具有详细计划，设备数量、选型配置、进场数量、时间安排合理满足施工需求。 1.投入的施工机械、设备具有详细计划，设备数量、选型配置、进场数量、时间安排合理满足施工需求得4分； 2.投入的施工机械、设备具有较完整的计划，设备数量、选型配置、进场数量、时间安排较满足施工需求得3分； 3.投入的施工机械、设备计划简单，不能完全满足施工需求得1分；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施工进度表或施工网络图，安排科学合理符合本项目施工实际要求。 1.方案内容完整详尽、科学合理、切实可行、针对性强，完全满足施工要求得4分； 2.方案基本完整、较合理可行、针对性不强、基本满足施工要求得3分； 3.方案简单、不能完全满足施工要求得1分；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施工单位应用的技术、产品、工艺、材料等先进科学，并有合理的施工现场扬尘预防措施。 1.方案及措施内容完整详尽、科学合理、切实可行、针对性强，完全满足施工要求得2分； 2.方案及措施基本完整、较合理可行、针对性不强、基本满足施工要求得1分； 3.未提供得0分。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满足磋商文件要求且最后的磋商报价最低的价格为评审基准价，其价格分为满分。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详见附件：磋商报价一览表.pdf</w:t>
      </w:r>
    </w:p>
    <w:p>
      <w:pPr>
        <w:pStyle w:val="null3"/>
        <w:ind w:firstLine="960"/>
      </w:pPr>
      <w:r>
        <w:rPr>
          <w:rFonts w:ascii="仿宋_GB2312" w:hAnsi="仿宋_GB2312" w:cs="仿宋_GB2312" w:eastAsia="仿宋_GB2312"/>
        </w:rPr>
        <w:t>详见附件：法定代表人身份证明书及授权书.pdf</w:t>
      </w:r>
    </w:p>
    <w:p>
      <w:pPr>
        <w:pStyle w:val="null3"/>
        <w:ind w:firstLine="960"/>
      </w:pPr>
      <w:r>
        <w:rPr>
          <w:rFonts w:ascii="仿宋_GB2312" w:hAnsi="仿宋_GB2312" w:cs="仿宋_GB2312" w:eastAsia="仿宋_GB2312"/>
        </w:rPr>
        <w:t>详见附件：投标人应提交的资格证明材料.pdf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详见附件：技术方案.pdf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