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版本号：DLZCCS2026-1020260708002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互联网医院采购项目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DLZCCS2026-10</w:t>
      </w:r>
      <w:r>
        <w:br/>
      </w:r>
      <w:r>
        <w:br/>
      </w:r>
      <w:r>
        <w:br/>
      </w:r>
    </w:p>
    <w:p>
      <w:pPr>
        <w:pStyle w:val="null3"/>
        <w:jc w:val="center"/>
        <w:outlineLvl w:val="2"/>
      </w:pPr>
      <w:r>
        <w:rPr>
          <w:rFonts w:ascii="仿宋_GB2312" w:hAnsi="仿宋_GB2312" w:cs="仿宋_GB2312" w:eastAsia="仿宋_GB2312"/>
          <w:sz w:val="28"/>
          <w:b/>
        </w:rPr>
        <w:t>大荔县中医医院</w:t>
      </w:r>
    </w:p>
    <w:p>
      <w:pPr>
        <w:pStyle w:val="null3"/>
        <w:jc w:val="center"/>
        <w:outlineLvl w:val="2"/>
      </w:pPr>
      <w:r>
        <w:rPr>
          <w:rFonts w:ascii="仿宋_GB2312" w:hAnsi="仿宋_GB2312" w:cs="仿宋_GB2312" w:eastAsia="仿宋_GB2312"/>
          <w:sz w:val="28"/>
          <w:b/>
        </w:rPr>
        <w:t>大荔县政府采购中心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大荔县政府采购中心</w:t>
      </w:r>
      <w:r>
        <w:rPr>
          <w:rFonts w:ascii="仿宋_GB2312" w:hAnsi="仿宋_GB2312" w:cs="仿宋_GB2312" w:eastAsia="仿宋_GB2312"/>
        </w:rPr>
        <w:t>（以下简称“代理机构”）受</w:t>
      </w:r>
      <w:r>
        <w:rPr>
          <w:rFonts w:ascii="仿宋_GB2312" w:hAnsi="仿宋_GB2312" w:cs="仿宋_GB2312" w:eastAsia="仿宋_GB2312"/>
        </w:rPr>
        <w:t>大荔县中医医院</w:t>
      </w:r>
      <w:r>
        <w:rPr>
          <w:rFonts w:ascii="仿宋_GB2312" w:hAnsi="仿宋_GB2312" w:cs="仿宋_GB2312" w:eastAsia="仿宋_GB2312"/>
        </w:rPr>
        <w:t>委托，拟对</w:t>
      </w:r>
      <w:r>
        <w:rPr>
          <w:rFonts w:ascii="仿宋_GB2312" w:hAnsi="仿宋_GB2312" w:cs="仿宋_GB2312" w:eastAsia="仿宋_GB2312"/>
        </w:rPr>
        <w:t>互联网医院采购项目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DLZCCS2026-10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互联网医院采购项目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互联网医院采购项目，1项，具体内容详见磋商文件第三章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在中华人民共和国境内注册，具有独立承担民事责任能力的法人、其他组织或自然人，具备从事本采购项目的经营范围和履约能力，提供合法有效的企业营业执照、法人证书或登记证书； （2）提供2026年1月至今任意一个月已缴纳的纳税证明或完税证明（包含增值税、企业所得税、营业税至少一种）；（依法免税的投标人应提供相关文件证明） （3）提供2026年1月至今任意一个月的社保缴费凭据或社保机构开具的社会保险参保缴费情况证明；（依法不需要缴纳社会保障资金的投标人应提供相关证明） （4）提供参加政府采购活动前三年内在经营活动中没有重大违法记录的书面声明； （5）提供法定代表人授权书（附法定代表人有效身份证复印件，法定代表人直接参加只需提供法定代表人有效身份证）及被授权人有效身份证原件。； （6）投标人不得为“信用中国”网站（www.creditchina.gov.cn）中列入失信被执行人和重大税收违法案件当事人名单的投标人，不得为中国政府采购网（www.ccgp.gov.cn）购活动的政府采购严重违法失信行为记录名单中被财政部门禁止参加政府采投标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大荔县西三环商贸大道中段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0913-3397308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大荔县政府采购中心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大荔县洛滨大道西段财政局（709室）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09133256360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大荔县中医医院</w:t>
      </w:r>
      <w:r>
        <w:rPr>
          <w:rFonts w:ascii="仿宋_GB2312" w:hAnsi="仿宋_GB2312" w:cs="仿宋_GB2312" w:eastAsia="仿宋_GB2312"/>
        </w:rPr>
        <w:t>和</w:t>
      </w:r>
      <w:r>
        <w:rPr>
          <w:rFonts w:ascii="仿宋_GB2312" w:hAnsi="仿宋_GB2312" w:cs="仿宋_GB2312" w:eastAsia="仿宋_GB2312"/>
        </w:rPr>
        <w:t>大荔县政府采购中心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大荔县政府采购中心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大荔县政府采购中心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总体质量：所有平台运维、运营、技术支撑服务质量优良，满足采购人日常业务开展及平台常态化运行需求。 成果质量：平台功能运行稳定，发布内容真实合法、准确无误，无违规、低俗、虚假等不良信息；所有交付资料、运维台账、工作报告格式规范、内容完整。</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大荔县政府采购中心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大荔县政府采购中心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大荔县政府采购中心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联系人：张先生</w:t>
      </w:r>
    </w:p>
    <w:p>
      <w:pPr>
        <w:pStyle w:val="null3"/>
      </w:pPr>
      <w:r>
        <w:rPr>
          <w:rFonts w:ascii="仿宋_GB2312" w:hAnsi="仿宋_GB2312" w:cs="仿宋_GB2312" w:eastAsia="仿宋_GB2312"/>
        </w:rPr>
        <w:t>联系电话：0913-3256360</w:t>
      </w:r>
    </w:p>
    <w:p>
      <w:pPr>
        <w:pStyle w:val="null3"/>
      </w:pPr>
      <w:r>
        <w:rPr>
          <w:rFonts w:ascii="仿宋_GB2312" w:hAnsi="仿宋_GB2312" w:cs="仿宋_GB2312" w:eastAsia="仿宋_GB2312"/>
        </w:rPr>
        <w:t>地址：大荔县洛滨大道西段财政局（709室）</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落实国家“互联网+医疗健康”发展战略，推进智慧医院数字化转型，补齐传统线下医疗服务短板，优化区域医疗资源配置，依托采购人实体医疗机构资质与诊疗能力，建设标准化、合规化、一体化互联网医院平台。本项目通过搭建线上智慧医疗服务体系，打通院内信息系统、医保结算系统、处方流转及药品配送体系，实现线上线下医疗服务深度融合，有效分流线下轻症复诊压力，缩短群众就医时长，提升医疗服务可及性与服务效率，助力分级诊疗体系落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大荔县中医医院互联网医院采购项目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标的名称：大荔县中医医院互联网医院采购项目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24"/>
              <w:gridCol w:w="158"/>
              <w:gridCol w:w="244"/>
              <w:gridCol w:w="305"/>
              <w:gridCol w:w="438"/>
              <w:gridCol w:w="1277"/>
            </w:tblGrid>
            <w:tr>
              <w:tc>
                <w:tcPr>
                  <w:tcW w:type="dxa" w:w="2546"/>
                  <w:gridSpan w:val="6"/>
                  <w:tcBorders>
                    <w:top w:val="single" w:color="000000" w:sz="4"/>
                    <w:left w:val="single" w:color="000000" w:sz="4"/>
                    <w:bottom w:val="single" w:color="000000" w:sz="4"/>
                    <w:right w:val="single" w:color="000000" w:sz="4"/>
                  </w:tcBorders>
                  <w:shd w:fill="C9E4B4"/>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互联网医院平台建设规划</w:t>
                  </w:r>
                </w:p>
              </w:tc>
            </w:tr>
            <w:tr>
              <w:tc>
                <w:tcPr>
                  <w:tcW w:type="dxa" w:w="124"/>
                  <w:tcBorders>
                    <w:top w:val="none" w:color="000000" w:sz="4"/>
                    <w:left w:val="single" w:color="000000" w:sz="4"/>
                    <w:bottom w:val="single" w:color="000000" w:sz="4"/>
                    <w:right w:val="single" w:color="000000" w:sz="4"/>
                  </w:tcBorders>
                  <w:shd w:fill="C9E4B4"/>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序号</w:t>
                  </w:r>
                </w:p>
              </w:tc>
              <w:tc>
                <w:tcPr>
                  <w:tcW w:type="dxa" w:w="158"/>
                  <w:tcBorders>
                    <w:top w:val="single" w:color="000000" w:sz="4"/>
                    <w:left w:val="none" w:color="000000" w:sz="4"/>
                    <w:bottom w:val="single" w:color="000000" w:sz="4"/>
                    <w:right w:val="single" w:color="000000" w:sz="4"/>
                  </w:tcBorders>
                  <w:shd w:fill="C9E4B4"/>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系统名称</w:t>
                  </w:r>
                </w:p>
              </w:tc>
              <w:tc>
                <w:tcPr>
                  <w:tcW w:type="dxa" w:w="244"/>
                  <w:tcBorders>
                    <w:top w:val="single" w:color="000000" w:sz="4"/>
                    <w:left w:val="none" w:color="000000" w:sz="4"/>
                    <w:bottom w:val="single" w:color="000000" w:sz="4"/>
                    <w:right w:val="single" w:color="000000" w:sz="4"/>
                  </w:tcBorders>
                  <w:shd w:fill="C9E4B4"/>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子系统</w:t>
                  </w:r>
                </w:p>
              </w:tc>
              <w:tc>
                <w:tcPr>
                  <w:tcW w:type="dxa" w:w="305"/>
                  <w:tcBorders>
                    <w:top w:val="single" w:color="000000" w:sz="4"/>
                    <w:left w:val="none" w:color="000000" w:sz="4"/>
                    <w:bottom w:val="single" w:color="000000" w:sz="4"/>
                    <w:right w:val="single" w:color="000000" w:sz="4"/>
                  </w:tcBorders>
                  <w:shd w:fill="C9E4B4"/>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模块</w:t>
                  </w:r>
                </w:p>
              </w:tc>
              <w:tc>
                <w:tcPr>
                  <w:tcW w:type="dxa" w:w="438"/>
                  <w:tcBorders>
                    <w:top w:val="single" w:color="000000" w:sz="4"/>
                    <w:left w:val="none" w:color="000000" w:sz="4"/>
                    <w:bottom w:val="single" w:color="000000" w:sz="4"/>
                    <w:right w:val="single" w:color="000000" w:sz="4"/>
                  </w:tcBorders>
                  <w:shd w:fill="C9E4B4"/>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功能清单</w:t>
                  </w:r>
                </w:p>
              </w:tc>
              <w:tc>
                <w:tcPr>
                  <w:tcW w:type="dxa" w:w="1277"/>
                  <w:tcBorders>
                    <w:top w:val="single" w:color="000000" w:sz="4"/>
                    <w:left w:val="none" w:color="000000" w:sz="4"/>
                    <w:bottom w:val="single" w:color="000000" w:sz="4"/>
                    <w:right w:val="single" w:color="000000" w:sz="4"/>
                  </w:tcBorders>
                  <w:shd w:fill="C9E4B4"/>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功能说明</w:t>
                  </w:r>
                </w:p>
              </w:tc>
            </w:tr>
            <w:tr>
              <w:tc>
                <w:tcPr>
                  <w:tcW w:type="dxa" w:w="124"/>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58"/>
                  <w:vMerge w:val="restart"/>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患者智慧服务平台</w:t>
                  </w:r>
                </w:p>
              </w:tc>
              <w:tc>
                <w:tcPr>
                  <w:tcW w:type="dxa" w:w="244"/>
                  <w:vMerge w:val="restart"/>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患者端(微信小程序/支付宝小程序</w:t>
                  </w:r>
                </w:p>
              </w:tc>
              <w:tc>
                <w:tcPr>
                  <w:tcW w:type="dxa" w:w="30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基础服务</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在线建卡</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支持用户在线注册电子健康卡、电子就诊卡，并生成身份识别二维码。</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就诊人管理</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支持添加、管理多个就诊人，可为父母、子女、配偶、亲友等多个患者进行诊疗服务。</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我的关注</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支持查看用户关注或预约过的医生信息，方便快速进行预约服务</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singl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个人中心</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支持各项业务记录查询，方便用户查看。</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门/急诊服务</w:t>
                  </w:r>
                </w:p>
              </w:tc>
              <w:tc>
                <w:tcPr>
                  <w:tcW w:type="dxa" w:w="43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AI导诊</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支持根据患者症状、病程等信息，运用AI技术和知识库快速推荐科室医生，支持定制科室对照体系。</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预约挂号</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支持用户通过小程序进行预约挂号，支持分时段预约。</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当日挂号</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支持用户通过小程序进行当日挂号，减少挂号窗口排队等待。</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急诊挂号</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支持用户通过小程序进行急诊挂号，急诊患者可快速完成挂号业务。</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取号支付</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支持用户在就诊当日线上完成取号支付和签到，支持对接分诊系统，患者信息进入候诊排队队列。</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续诊报到</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支持对接分诊系统，续诊/过号患者线上进行续诊/过号报到，进入候诊队列，保障诊室就诊秩序。</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智能候诊</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支持对接分诊系统，实时更新当前候诊排队的信息，患者可在线查看就诊科室、当前排号、待诊人数量等。</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门诊缴费</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支持用户通过小程序完成门诊药品处方、检查和检验申请单缴费。</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门诊花费查询</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支持用户通过小程序查看历次门诊就诊花费信息。</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用药指导</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支持用户通过小程序查门诊处方药品的用法用量、频次等信息。</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自助开单</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支持用户通过小程序选择检查检验项目,并在线完成申请单缴费。</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报告查看</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支持用户在线查看检查、检验报告结果。</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就医记录</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支持用户查看历史门诊就医记录。</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医保凭证</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支持对接微信医保凭证小程序，快速打开医保电子凭证完成收费窗口医保结算。</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住院服务</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住院充值</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支持用户通过小程序完成住院预交金的充值。</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每日清单</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支持住院患者通过小程序查询每日清单明细。</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出院带药</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支持住院患者通过线上查询药品清单、药品用法用量、用药注意事项。</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病案复印预约</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支持通过小程序进行病案复印预约，在线支付病案复印费。支持通过第三方物流配送和到院自取。</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电子住院证</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支持患者通过医院小程序即可查看到电子住院证，患者出示电子住院证可到住院登记处办理住院手续</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val="restart"/>
                  <w:tcBorders>
                    <w:top w:val="none" w:color="000000" w:sz="4"/>
                    <w:left w:val="non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综合服务</w:t>
                  </w: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医院介绍</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展示医院介绍图文内容</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none" w:color="000000" w:sz="4"/>
                  </w:tcBorders>
                </w:tcP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科室介绍</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展示科室介绍图文内容</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none" w:color="000000" w:sz="4"/>
                  </w:tcBorders>
                </w:tcP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专家介绍</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展示医生专家介绍图文内容</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none" w:color="000000" w:sz="4"/>
                  </w:tcBorders>
                </w:tcP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价格公示</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支持医院对药品价格和收费项目的价格在手机端进行公示，方便用户及时了解医院收费标准。</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none" w:color="000000" w:sz="4"/>
                  </w:tcBorders>
                </w:tcP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出停诊信息</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支持查看全院科室医生出停诊信息，患者可根据就诊需要查询就诊科室医生停出诊情况。</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none" w:color="000000" w:sz="4"/>
                  </w:tcBorders>
                </w:tcP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院内导航</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支持院内楼层静态平面图查询。支持标注出院内各楼层平面图、各楼层科室诊室位置。</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none" w:color="000000" w:sz="4"/>
                  </w:tcBorders>
                </w:tcP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满意度调查</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支持患者通过小程序对本次就诊服务进行满意度填报</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none" w:color="000000" w:sz="4"/>
                  </w:tcBorders>
                </w:tcP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意见反馈</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支持用户通过小程序对本院服务进行意见反馈填报</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none" w:color="000000" w:sz="4"/>
                  </w:tcBorders>
                </w:tcP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健康宣教</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支持用户通过小程序查看健康宣教内容</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none" w:color="000000" w:sz="4"/>
                  </w:tcBorders>
                </w:tcP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通知公告</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支持用户通过小程序查看通知公告内容</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none" w:color="000000" w:sz="4"/>
                  </w:tcBorders>
                </w:tcP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消息提醒</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支持小程序消息通知实时推送，包括：预约挂号成功，预约挂号取消，医生停诊通知，待缴费提醒等</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val="restart"/>
                  <w:tcBorders>
                    <w:top w:val="singl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医院管理端(业务中台)</w:t>
                  </w:r>
                </w:p>
              </w:tc>
              <w:tc>
                <w:tcPr>
                  <w:tcW w:type="dxa" w:w="30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组织管理</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医院信息</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管理维护医院基本信息，包括医院名称、等级、地址、医院logo、图片及医院简介内容。</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院区信息</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管理维护医院多院区信息，包括院区名称、地址、联系电话等内容。</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病区信息</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管理维护医院病区信息，包括病区名称、地址、联系电话等内容。</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科室信息</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管理维护医院科室信息，包括科室名称、科室类别、位置、科室简介等内容。支持对科室顺序进行排序号设置</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医生信息</w:t>
                  </w:r>
                </w:p>
              </w:tc>
              <w:tc>
                <w:tcPr>
                  <w:tcW w:type="dxa" w:w="1277"/>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管理维护医生信息，包括医生基本信息，医生简介及擅长、医生图片等内容。支持对医生预约顺序进行排序号设置</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1277"/>
                  <w:vMerge/>
                  <w:tcBorders>
                    <w:top w:val="none" w:color="000000" w:sz="4"/>
                    <w:left w:val="none" w:color="000000" w:sz="4"/>
                    <w:bottom w:val="single" w:color="000000" w:sz="4"/>
                    <w:right w:val="single" w:color="000000" w:sz="4"/>
                  </w:tcBorders>
                </w:tcP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黑名单管理</w:t>
                  </w:r>
                </w:p>
              </w:tc>
              <w:tc>
                <w:tcPr>
                  <w:tcW w:type="dxa" w:w="438"/>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患者信息</w:t>
                  </w:r>
                </w:p>
              </w:tc>
              <w:tc>
                <w:tcPr>
                  <w:tcW w:type="dxa" w:w="1277"/>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支持患者信息统计查询</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1277"/>
                  <w:vMerge/>
                  <w:tcBorders>
                    <w:top w:val="none" w:color="000000" w:sz="4"/>
                    <w:left w:val="none" w:color="000000" w:sz="4"/>
                    <w:bottom w:val="single" w:color="000000" w:sz="4"/>
                    <w:right w:val="single" w:color="000000" w:sz="4"/>
                  </w:tcBorders>
                </w:tcP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白名单</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白名单患者信息统计查询，支持针对有倒号，伤医行为的患者拉入黑名单</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黑名单</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黑名单患者信息统计查询，支持手动解除黑名单，支持查看黑明单原因及记录</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黑名单规则</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支持黑名单规则设置</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统一号源管理</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班次管理</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管理维护门诊班次信息，支持分时段及号源占比设置。</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排班模版</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管理维护门诊排班模版，设置医生排班出诊表，支持各科室维护排班模版。</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医生排班</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管理维护门诊医生排班信息，支持根据排班模版自动生成排班数据，支持添加单条排班数据，支持医生停诊/启用操作。</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挂号类别</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管理维护门诊挂号类型，满足医院自定义挂号类别的设置。</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放号规则</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支持设置预约放号规则，包括渠道放号规则、医院放号规则、科室放号规则、医生放号规则和患者放号规则</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预约信息</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支持预约记录综合查询</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当日挂号</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支持当日挂号记录综合查询</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tcBorders>
                    <w:top w:val="none" w:color="000000" w:sz="4"/>
                    <w:left w:val="non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卡管中心</w:t>
                  </w: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在线建卡</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管理在线建卡(电子健康卡，电子就诊卡)数据，支持综合查询建卡数据，支持查询建卡详情数据</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tcBorders>
                    <w:top w:val="none" w:color="000000" w:sz="4"/>
                    <w:left w:val="non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平台预约</w:t>
                  </w: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人工预约</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为医院提供人工预约功能，可用于电话预约，患者服务中心预约等不同场景，满足老年人或智能手机使用不便的患者预约需求</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val="restart"/>
                  <w:tcBorders>
                    <w:top w:val="none" w:color="000000" w:sz="4"/>
                    <w:left w:val="non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满意度调查管理</w:t>
                  </w: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科室分布</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支持医院满意度管理自定义科室组织结构</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none" w:color="000000" w:sz="4"/>
                  </w:tcBorders>
                </w:tcP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满意度调查表管理</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支持配置医院满意度所使用的问卷。支持修改调查表状态，设置预警值。</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none" w:color="000000" w:sz="4"/>
                  </w:tcBorders>
                </w:tcP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满意度调查表处理</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支持查看调查表填写详情；调查表预警提醒；待处理状态的调查表，给出处理意见；下载调查表数据。</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none" w:color="000000" w:sz="4"/>
                  </w:tcBorders>
                </w:tcP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调查结果统计分析</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支持根据科室类型、科室、时间查询各个科室在某一时段内提交的问卷数和满意度平均值。</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病案复印管理</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病案预约须知</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管理维护医院病案预约的规则、注意事项内容。</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收费规则设置</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设置病案预约的收费规则，包括收费模式、复印费等。</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寄件信息设置</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设置医院寄件信息，包括发件人，联系电话等。</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申请单审核</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审核病案复印预约的申请信息，包括申请人资质、患者信息、病案邮寄信息等。</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病案复印</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管理病案复印记录的费用结算，根据实际复印张数进行多退少补。</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到院自提</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通过自提码，实现用户到院自提病案资料。</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邮递配送</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通过对接第三方物流平台，实现病案资料的物流配送。</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申请单查询</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支持申请单记录的综合查询，可查看记录的不同状态及物流状态。</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健康宣教管理</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文章类型</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管理维护健康宣教类型，包括就诊指导、医保政策等。</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244"/>
                  <w:vMerge/>
                  <w:tcBorders>
                    <w:top w:val="single" w:color="000000" w:sz="4"/>
                    <w:left w:val="none" w:color="000000" w:sz="4"/>
                    <w:bottom w:val="non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文章内容</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管理发布健康宣教文章内容，包括内容名称、文章类型、封面图片等。</w:t>
                  </w:r>
                </w:p>
              </w:tc>
            </w:tr>
            <w:tr>
              <w:tc>
                <w:tcPr>
                  <w:tcW w:type="dxa" w:w="124"/>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w:t>
                  </w:r>
                </w:p>
              </w:tc>
              <w:tc>
                <w:tcPr>
                  <w:tcW w:type="dxa" w:w="158"/>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互联网医院平台</w:t>
                  </w:r>
                </w:p>
              </w:tc>
              <w:tc>
                <w:tcPr>
                  <w:tcW w:type="dxa" w:w="244"/>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患者端(微信小程序）</w:t>
                  </w:r>
                </w:p>
              </w:tc>
              <w:tc>
                <w:tcPr>
                  <w:tcW w:type="dxa" w:w="30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基础服务</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注册登录</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支持患者首次使用时通过授权当前微信手机号或添加其他手机号登录，默认自动完成注册登录。</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singl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实名认证</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平台新注册的用户必须通过身份证进行实名认证后才允许申请互联网医疗服务。</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singl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订单中心</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支持患者查询所有线上问诊的订单，包括药品、检查、检验各类订单，也包含组合类的订单。</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singl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就诊人管理</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支持用户添加多个就诊人，并对就诊人进行管理，可设置默认就诊人。</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singl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地址管理</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支持患者维护多个地址信息，并设置出默认地址信息，可用于药品配送等环节。</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single" w:color="000000" w:sz="4"/>
                    <w:left w:val="none" w:color="000000" w:sz="4"/>
                    <w:bottom w:val="single" w:color="000000" w:sz="4"/>
                    <w:right w:val="single" w:color="000000" w:sz="4"/>
                  </w:tcBorders>
                </w:tcPr>
                <w:p/>
              </w:tc>
              <w:tc>
                <w:tcPr>
                  <w:tcW w:type="dxa" w:w="30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在线咨询</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在线咨询</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支持在线自主选择需要咨询的医生，可基于职称、科室、接诊量等多维度检索，可补充病情资料。</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singl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在线缴费</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支持患者在线完成咨询服务相关的费用支付。</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singl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咨询评价</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支持患者对医生的咨询服务进行线上评价。</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singl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咨询记录查询</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支持患者查看在线咨询历史记录及问诊详情，并完成评价信息。</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single" w:color="000000" w:sz="4"/>
                    <w:left w:val="none" w:color="000000" w:sz="4"/>
                    <w:bottom w:val="single" w:color="000000" w:sz="4"/>
                    <w:right w:val="single" w:color="000000" w:sz="4"/>
                  </w:tcBorders>
                </w:tcPr>
                <w:p/>
              </w:tc>
              <w:tc>
                <w:tcPr>
                  <w:tcW w:type="dxa" w:w="30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在线复诊</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智能导诊</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支持根据患者症状、病程等信息，运用AI技术和知识库快速推荐科室医生，支持定制科室对照体系。</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singl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预约挂号</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支持用户通过小程序进行预约挂号，支持分时段预约。</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singl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在线复诊</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支持复诊患者在线自主选择需要预约的医生，可基于职称、科室、接诊量等多维度检索，可补充病情资料。</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singl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在线缴费</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支持患者完成互联网医疗服务的挂号费、处方、检查和检验等费用的在线支付，支持微信等支付方式。</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singl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药品配送</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支持在线进行药品配送服务下单并选择配送到家服务，支持对接第三方物流后查看物流信息详情。　</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singl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门诊缴费</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支持用户通过小程序完成门诊药品处方、检查和检验申请单缴费。</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singl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消息提醒</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支持实时推送就医流程中的预约信息、接诊信息、开单信息等信息，并可查看详情。</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singl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问诊评价</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支持患者对医生的咨询服务进行线上评价。</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singl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问诊记录查询</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支持患者查看在线复诊历史记录及问诊详情，包括病历、处方、检查检验等信息。</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single" w:color="000000" w:sz="4"/>
                    <w:left w:val="none" w:color="000000" w:sz="4"/>
                    <w:bottom w:val="single" w:color="000000" w:sz="4"/>
                    <w:right w:val="single" w:color="000000" w:sz="4"/>
                  </w:tcBorders>
                </w:tcPr>
                <w:p/>
              </w:tc>
              <w:tc>
                <w:tcPr>
                  <w:tcW w:type="dxa" w:w="305"/>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便民门诊</w:t>
                  </w: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开单申请</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支持患者自助选药，经过医生审核后，获取处方、检查、检验单。</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single" w:color="000000" w:sz="4"/>
                    <w:left w:val="none" w:color="000000" w:sz="4"/>
                    <w:bottom w:val="single" w:color="000000" w:sz="4"/>
                    <w:right w:val="single" w:color="000000" w:sz="4"/>
                  </w:tcBorders>
                </w:tcPr>
                <w:p/>
              </w:tc>
              <w:tc>
                <w:tcPr>
                  <w:tcW w:type="dxa" w:w="305"/>
                  <w:vMerge/>
                  <w:tcBorders>
                    <w:top w:val="none" w:color="000000" w:sz="4"/>
                    <w:left w:val="none" w:color="000000" w:sz="4"/>
                    <w:bottom w:val="none" w:color="000000" w:sz="4"/>
                    <w:right w:val="none" w:color="000000" w:sz="4"/>
                  </w:tcBorders>
                </w:tcP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在线缴费</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支持患者通过小程序完成挂号费、药品处方、检查和检验申请单缴费。</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single" w:color="000000" w:sz="4"/>
                    <w:left w:val="none" w:color="000000" w:sz="4"/>
                    <w:bottom w:val="single" w:color="000000" w:sz="4"/>
                    <w:right w:val="single" w:color="000000" w:sz="4"/>
                  </w:tcBorders>
                </w:tcPr>
                <w:p/>
              </w:tc>
              <w:tc>
                <w:tcPr>
                  <w:tcW w:type="dxa" w:w="305"/>
                  <w:vMerge/>
                  <w:tcBorders>
                    <w:top w:val="none" w:color="000000" w:sz="4"/>
                    <w:left w:val="none" w:color="000000" w:sz="4"/>
                    <w:bottom w:val="none" w:color="000000" w:sz="4"/>
                    <w:right w:val="none" w:color="000000" w:sz="4"/>
                  </w:tcBorders>
                </w:tcP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药品配送</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支持在线进行药品配送服务下单并选择配送到家服务，支持对接第三方物流后查看物流信息详情。　</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single" w:color="000000" w:sz="4"/>
                    <w:left w:val="none" w:color="000000" w:sz="4"/>
                    <w:bottom w:val="single" w:color="000000" w:sz="4"/>
                    <w:right w:val="single" w:color="000000" w:sz="4"/>
                  </w:tcBorders>
                </w:tcPr>
                <w:p/>
              </w:tc>
              <w:tc>
                <w:tcPr>
                  <w:tcW w:type="dxa" w:w="305"/>
                  <w:vMerge/>
                  <w:tcBorders>
                    <w:top w:val="none" w:color="000000" w:sz="4"/>
                    <w:left w:val="none" w:color="000000" w:sz="4"/>
                    <w:bottom w:val="none" w:color="000000" w:sz="4"/>
                    <w:right w:val="none" w:color="000000" w:sz="4"/>
                  </w:tcBorders>
                </w:tcP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申请记录查询</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支持患者查看便民门诊申请历史记录及详情，包括病历、处方、检查检验等信息。</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single" w:color="000000" w:sz="4"/>
                    <w:left w:val="none" w:color="000000" w:sz="4"/>
                    <w:bottom w:val="single" w:color="000000" w:sz="4"/>
                    <w:right w:val="single" w:color="000000" w:sz="4"/>
                  </w:tcBorders>
                </w:tcPr>
                <w:p/>
              </w:tc>
              <w:tc>
                <w:tcPr>
                  <w:tcW w:type="dxa" w:w="305"/>
                  <w:tcBorders>
                    <w:top w:val="singl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特色服务</w:t>
                  </w: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健康档案</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提供为患者查询个人信息、健康信息、线上问诊记录的统一入口。</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医生端（新医通APP）</w:t>
                  </w:r>
                </w:p>
              </w:tc>
              <w:tc>
                <w:tcPr>
                  <w:tcW w:type="dxa" w:w="30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基础服务</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身份识别</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支持已开通权限的的医生人员通过手机号和密码登录系统，未授权的医生人员无法登录。　</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val="restart"/>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在线咨询</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图文咨询</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支持医生通过图文、音频的方式非实时的回复患者咨询。</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non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视频咨询</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支持医生通过视频的方式实时回复患者咨询。</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non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状态设置</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支持医生自定义在线状态，可通过开启或关闭在线状态，为患者提供或不提供在线咨询服务。</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non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消息提醒</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系统提供问诊消息、待办事项等业务的显著提示。</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non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咨询记录查询</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医生可多维度查询历史咨询记录。</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在线复诊</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图文咨询</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支持医生完成已预约患者的线上接诊，可通过</w:t>
                  </w:r>
                  <w:r>
                    <w:rPr>
                      <w:rFonts w:ascii="仿宋_GB2312" w:hAnsi="仿宋_GB2312" w:cs="仿宋_GB2312" w:eastAsia="仿宋_GB2312"/>
                      <w:sz w:val="28"/>
                      <w:color w:val="191919"/>
                    </w:rPr>
                    <w:t>图文、语音等方式与患者在线交流。</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singl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视频咨询</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支持医生通过视频的方式实时回复患者咨询。</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singl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专家邀请</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支持医生在线上接诊的过程中，可邀请其他医生共同接诊。</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singl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病历书写</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支持医生在线完成线上问诊患者病历的书写，并支持同步至院内HIS系统。</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singl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在线开单</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支持医生在线开立处方、检查申请单、检验申请单等，并支持同步至院内系统。</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singl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前置审方</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为前置审方预留接口，可实现与审方系统对接。</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singl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CA签名</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为CA签名预留接口，可实现与CA厂商对接。</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singl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退诊申请</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支持医生发起退诊申请，由相关管理部门审核通过后可为患者退费。</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singl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排班管理</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支持医生查看排班及预约情况，可实现医生自主排班。</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singl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加号管理</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支持医生查看患者发起的加号申请，并进行驳回或同意处理。</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singl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消息提醒</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系统提供问诊消息、待办事项等业务的显著提示。</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singl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接诊记录查询</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医生可多维度查询历史接诊记录。</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val="restart"/>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特色服务</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工作看板</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医生可统计查询本人在互联网医院服务中的工作量，包括挂号量、在线咨询量、在线复诊接诊量等。</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non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患者管理</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支持医生对患者进行统一管理，可实现分组与标记、重点患者标记等。</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non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医生协同</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支持平台内的医护人员之间通过图文、音频、视频的进行线上交流。</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non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医院资讯</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支持查看医院发布的面向医护人员的资讯内容及详情。</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个人中心</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模版维护</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支持医生自定义常用药品、常用检查、常用检验，并可在医生开单时快捷引用；医生可自定义组合药品、检查、检验形成个人治疗方案模版，并可在医生开单时快捷引用。</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singl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电子签名</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支持医生维护自己的电子签名，并应用于在线医疗服务场景。</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singl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个人主页</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支持医生查看个人基本信息、擅长、简介及患者评价。</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singl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我的二维码</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支持保存个人二维码至手机相册，患者可扫码</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singl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基础设置</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支持医生自主维护个人头像、修改密码、退出登录等。</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医生端（PC）</w:t>
                  </w:r>
                </w:p>
              </w:tc>
              <w:tc>
                <w:tcPr>
                  <w:tcW w:type="dxa" w:w="30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基础服务</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身份识别</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支持已开通权限的的医生人员通过手机号和密码登录系统，未授权的医生人员无法登录。　</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便民门诊</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申请记录审核</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支持医生完成申请记录的审核管理、同时生成药品处方</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病历书写</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支持医生在线完成线上问诊患者病历的书写，并支持同步至院内HIS系统。</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在线开单</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支持医生在线开立处方、检查申请单、检验申请单等，并支持同步至院内系统。</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药房发药</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确认发药</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支持药房的人登录查看所有当前待发药的线上处方，并完成发药。支持打印药品清单。</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物流单打印</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支持与第三方物流系统对接后的面单打印</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特色服务</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患者管理</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支持医生对患者进行统一管理，可实现分组与标记、重点患者标记等。</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医生协同</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支持平台内的医护人员之间通过图文、音频、视频的进行线上交流。</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医院管理端</w:t>
                  </w:r>
                </w:p>
              </w:tc>
              <w:tc>
                <w:tcPr>
                  <w:tcW w:type="dxa" w:w="30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组织管理</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医院信息</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管理维护医院基本信息，包括医院名称、等级、地址、医院logo、图片及医院简介内容。</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科室信息</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管理维护医院科室信息，包括科室名称、科室类别、位置、科室简介等内容。</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医生信息</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管理维护医生信息，包括医生基本信息，医生简介及擅长、医生照片、执业证书等内容。支持在线复诊、在线咨询功能的开通和关闭。</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val="restart"/>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在线咨询管理</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资费设置</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提供基于职称的在线咨询服务的挂号类别和费用的统一维护，可区分图文和视频模式。</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non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在线咨询模版</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提供基于医生个性化的在线咨询服务的挂号类别、费用的统一维护。</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val="restart"/>
                  <w:tcBorders>
                    <w:top w:val="singl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在线问诊管理</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放号设置</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支持自定义本机构的线上问诊放号规则，可设置放号天数。</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single" w:color="000000" w:sz="4"/>
                    <w:left w:val="none" w:color="000000" w:sz="4"/>
                    <w:bottom w:val="non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排班设置</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提供基于职称的在线复诊服务的挂号类别和费用的统一维护，可区分图文和视频模式。</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single" w:color="000000" w:sz="4"/>
                    <w:left w:val="none" w:color="000000" w:sz="4"/>
                    <w:bottom w:val="non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排班模版</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提供基于医生个性化的在线复诊服务的挂号类别、费用、每日接诊人数、单次问诊时长的统一维护。</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single" w:color="000000" w:sz="4"/>
                    <w:left w:val="none" w:color="000000" w:sz="4"/>
                    <w:bottom w:val="non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医生排班</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管理维护医生排班信息，支持根据排班模版自动生成排班数据，支持添加单条排班数据，支持医生停诊/启用操作。</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single" w:color="000000" w:sz="4"/>
                    <w:left w:val="none" w:color="000000" w:sz="4"/>
                    <w:bottom w:val="non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排班查询</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查询医生排班信息，包括排班日期、号源数、已预约人数等，支持医生排班停诊/启用操作。</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val="restart"/>
                  <w:tcBorders>
                    <w:top w:val="singl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综合查询</w:t>
                  </w: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线上问诊记录</w:t>
                  </w:r>
                </w:p>
              </w:tc>
              <w:tc>
                <w:tcPr>
                  <w:tcW w:type="dxa" w:w="127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支持多维度综合查询线上就诊记录，并可查看详情。</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single" w:color="000000" w:sz="4"/>
                    <w:left w:val="none" w:color="000000" w:sz="4"/>
                    <w:bottom w:val="none" w:color="000000" w:sz="4"/>
                    <w:right w:val="none" w:color="000000" w:sz="4"/>
                  </w:tcBorders>
                </w:tcPr>
                <w:p/>
              </w:tc>
              <w:tc>
                <w:tcPr>
                  <w:tcW w:type="dxa" w:w="438"/>
                  <w:tcBorders>
                    <w:top w:val="non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医生工作量统计</w:t>
                  </w:r>
                </w:p>
              </w:tc>
              <w:tc>
                <w:tcPr>
                  <w:tcW w:type="dxa" w:w="12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支持基于医生的多维度工作量统计，并可根据不同的业务进行区分。</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single" w:color="000000" w:sz="4"/>
                    <w:left w:val="none" w:color="000000" w:sz="4"/>
                    <w:bottom w:val="none" w:color="000000" w:sz="4"/>
                    <w:right w:val="none" w:color="000000" w:sz="4"/>
                  </w:tcBorders>
                </w:tcP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医生接诊情况查询</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支持基于医生的多维度查询接诊情况，可查看不同状态的预约情况及详情。</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single" w:color="000000" w:sz="4"/>
                    <w:left w:val="none" w:color="000000" w:sz="4"/>
                    <w:bottom w:val="none" w:color="000000" w:sz="4"/>
                    <w:right w:val="none" w:color="000000" w:sz="4"/>
                  </w:tcBorders>
                </w:tcP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线上问诊退费</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支持多维度查询线上问诊退费记录及详情，允许管理人员发起退费请求，并可查看退费状态。</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val="restart"/>
                  <w:tcBorders>
                    <w:top w:val="singl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基础信息维护</w:t>
                  </w: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就医指南维护</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支持自定义线上问诊、在线咨询、药品配送等服务过程中所使用的患者须知、知情同意书及注意事项等内容的统一管理，可提供新增、编辑、删除、启停用等。</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single" w:color="000000" w:sz="4"/>
                    <w:left w:val="none" w:color="000000" w:sz="4"/>
                    <w:bottom w:val="none" w:color="000000" w:sz="4"/>
                    <w:right w:val="none" w:color="000000" w:sz="4"/>
                  </w:tcBorders>
                </w:tcP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问诊标签管理</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支持基于科室自定义问诊标签，包括症状和特殊情况说明，供患者发起在线问诊申请时调用。</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single" w:color="000000" w:sz="4"/>
                    <w:left w:val="none" w:color="000000" w:sz="4"/>
                    <w:bottom w:val="none" w:color="000000" w:sz="4"/>
                    <w:right w:val="none" w:color="000000" w:sz="4"/>
                  </w:tcBorders>
                </w:tcPr>
                <w:p/>
              </w:tc>
              <w:tc>
                <w:tcPr>
                  <w:tcW w:type="dxa" w:w="43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业务规则设置</w:t>
                  </w:r>
                </w:p>
              </w:tc>
              <w:tc>
                <w:tcPr>
                  <w:tcW w:type="dxa" w:w="12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支持自定义是否校验复诊、诊断是否支持手动输入、是否对接物流等业务的统一管理和维护。</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tcBorders>
                    <w:top w:val="singl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资讯管理</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资讯信息管理</w:t>
                  </w:r>
                </w:p>
              </w:tc>
              <w:tc>
                <w:tcPr>
                  <w:tcW w:type="dxa" w:w="1277"/>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支持机构通过资讯管理功能实现医教内容管理，随时随地发布属于本院的资讯内容，供医生APP调用。</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业务监管</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诊疗评价管理</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支持查看互联网医疗过程中的所有诊疗评价，包括在线咨询、在线复诊等多个业务，并可对评价结果进行处理。</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singl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诊疗过程监管</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支持查看互联网医疗过程中的所有诊疗记录，包括在线咨询、在线复诊等多个业务，可对过程实现追溯。</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singl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诊疗质量管理</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支持查看互联网医疗过程中医生的电子病历，开立的电子处方、检查检验等医嘱详情，检查是否合规。</w:t>
                  </w:r>
                </w:p>
              </w:tc>
            </w:tr>
            <w:tr>
              <w:tc>
                <w:tcPr>
                  <w:tcW w:type="dxa" w:w="124"/>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3</w:t>
                  </w:r>
                </w:p>
              </w:tc>
              <w:tc>
                <w:tcPr>
                  <w:tcW w:type="dxa" w:w="158"/>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智能支付对账平台</w:t>
                  </w:r>
                </w:p>
              </w:tc>
              <w:tc>
                <w:tcPr>
                  <w:tcW w:type="dxa" w:w="244"/>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统一支付</w:t>
                  </w:r>
                </w:p>
              </w:tc>
              <w:tc>
                <w:tcPr>
                  <w:tcW w:type="dxa" w:w="30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公众号/小程序支付</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预约挂号支付</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支持用户通过医院公众号/小程序完成取号支付。</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门诊缴费</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支持用户通过医院公众号/小程序完成院内处方、检查和检验等费用的在线支付。</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住院预交金充值</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支持用户通过医院公众号/小程序完成住院预交金的充值，既能减少医院收费窗口的压力，又可以解决患者排队等候，提升患者就诊体验。</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诊间支付</w:t>
                  </w:r>
                </w:p>
              </w:tc>
              <w:tc>
                <w:tcPr>
                  <w:tcW w:type="dxa" w:w="438"/>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窗口支付</w:t>
                  </w:r>
                </w:p>
              </w:tc>
              <w:tc>
                <w:tcPr>
                  <w:tcW w:type="dxa" w:w="1277"/>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支持患者使用支付宝、微信付款功能调出付款码，对准窗口扫码设备展示付款码支付。</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vMerge/>
                  <w:tcBorders>
                    <w:top w:val="none" w:color="000000" w:sz="4"/>
                    <w:left w:val="none" w:color="000000" w:sz="4"/>
                    <w:bottom w:val="single" w:color="000000" w:sz="4"/>
                    <w:right w:val="single" w:color="000000" w:sz="4"/>
                  </w:tcBorders>
                </w:tcPr>
                <w:p/>
              </w:tc>
              <w:tc>
                <w:tcPr>
                  <w:tcW w:type="dxa" w:w="1277"/>
                  <w:vMerge/>
                  <w:tcBorders>
                    <w:top w:val="none" w:color="000000" w:sz="4"/>
                    <w:left w:val="none" w:color="000000" w:sz="4"/>
                    <w:bottom w:val="single" w:color="000000" w:sz="4"/>
                    <w:right w:val="single" w:color="000000" w:sz="4"/>
                  </w:tcBorders>
                </w:tcP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处方二维码支付</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支持患者使用支付宝、微信扫一扫，扫描处方的付款二维码支付。</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住院预交金扫码充值</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支持患者及家属使用微信或者支付宝，通过扫描住院预交金充值二维码进行充值。</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自助机设备缴费</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8"/>
                      <w:color w:val="000000"/>
                    </w:rPr>
                    <w:t>支持医院自助设备对接支付平台，患者及家属使用微信或者支付宝扫码付，在设备上完成取号支付、处方单缴费、门诊就诊卡充值、住院预交金充值等业务。</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支付服务</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支付服务</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8"/>
                      <w:color w:val="000000"/>
                    </w:rPr>
                    <w:t>支持支付宝、微信等当面付（条码付、扫码付）支付产品。集成订单预创建、订单支付、交易查询、交易撤销、交易退款、交易退款查询、支付结果通知、交易容错处理、账单下载等基础服务。</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管理系统</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交易订单查询</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支持查询线上支付订单信息，以及退费信息。</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支付配置</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支持支付宝、微信支付渠道管理/支付参数配置。</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账户权限管理</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支持用户管理、角色管理、权限管理。</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智能对账</w:t>
                  </w:r>
                </w:p>
              </w:tc>
              <w:tc>
                <w:tcPr>
                  <w:tcW w:type="dxa" w:w="30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订单管理</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交易订单查询</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支持生成医院交易订单中心，支持医院工作人员随时查询线上订单状态。</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异常订单查询</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支持实时预警单边账，账单处理时，系统进行多次校验，确保资金安全。</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异常处理记录</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支持异常订单处理记录，方便追溯问题。</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交易账单汇总</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支持按照支付厂家、支付途径、业务类型生成不同维度报表。</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智能对账</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拉取账单</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支持系统自动拉取账单、手动拉取账单，查看拉取账单记录，若账单错误，可删除后重新拉取。</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智能对账</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支持一键快速对账；以天为单位生成对账结果，异常结果预警。</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智能对账详情</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支持显示医院HIS账单以及医院各个支付渠道账单，系统进行比对，支持异常账单预警。</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账单差额查询</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支持展示对账结果，提供查询差额账单，支持对对账异常账单统一处理。</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对账账单汇总</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支持系统汇总对账账单，可根据支付途径、银行、商户号统计门诊收入、住院收入、银行收入、差额，异常笔数、对账结果等</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对账明细</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支持查询对账异常账单数据，财务人员可对异常账单进行处理。</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月度账单分析</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支持生成月度报表，可统计各商户银行总收入、HIS总收入、差异金额等信息。</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智能数据分析</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渠道账单分析</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支持按照支付宝、微信、银联等支付厂家汇总展示对账结果，方便财务人员核对分析；</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基础数据管理</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账号配置</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支持账号管理与维护，为每一个合法用户分配不同的操作权限和角色</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对账商户设置</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支持根据医院支付厂家，提供支付信息，后台进行统一配置管理。</w:t>
                  </w:r>
                </w:p>
              </w:tc>
            </w:tr>
            <w:tr>
              <w:tc>
                <w:tcPr>
                  <w:tcW w:type="dxa" w:w="124"/>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w:t>
                  </w:r>
                </w:p>
              </w:tc>
              <w:tc>
                <w:tcPr>
                  <w:tcW w:type="dxa" w:w="158"/>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处方流转系统</w:t>
                  </w:r>
                </w:p>
              </w:tc>
              <w:tc>
                <w:tcPr>
                  <w:tcW w:type="dxa" w:w="244"/>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管理端</w:t>
                  </w:r>
                </w:p>
              </w:tc>
              <w:tc>
                <w:tcPr>
                  <w:tcW w:type="dxa" w:w="743"/>
                  <w:gridSpan w:val="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服务商注册与审核</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支持统一管理与维护所有的药店、药厂或其他医疗机构</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743"/>
                  <w:gridSpan w:val="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处方管理</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支持处方信息的查询与流转管理</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终端药房端</w:t>
                  </w:r>
                </w:p>
              </w:tc>
              <w:tc>
                <w:tcPr>
                  <w:tcW w:type="dxa" w:w="743"/>
                  <w:gridSpan w:val="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药房发药</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支持为服务商开通发药端，查看流转至本机构的处方</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val="restart"/>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患者端</w:t>
                  </w:r>
                </w:p>
              </w:tc>
              <w:tc>
                <w:tcPr>
                  <w:tcW w:type="dxa" w:w="743"/>
                  <w:gridSpan w:val="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支付服务</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支持患者在移动端完成缴费</w:t>
                  </w:r>
                </w:p>
              </w:tc>
            </w:tr>
            <w:tr>
              <w:tc>
                <w:tcPr>
                  <w:tcW w:type="dxa" w:w="124"/>
                  <w:vMerge/>
                  <w:tcBorders>
                    <w:top w:val="none" w:color="000000" w:sz="4"/>
                    <w:left w:val="singl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244"/>
                  <w:vMerge/>
                  <w:tcBorders>
                    <w:top w:val="none" w:color="000000" w:sz="4"/>
                    <w:left w:val="none" w:color="000000" w:sz="4"/>
                    <w:bottom w:val="single" w:color="000000" w:sz="4"/>
                    <w:right w:val="single" w:color="000000" w:sz="4"/>
                  </w:tcBorders>
                </w:tcPr>
                <w:p/>
              </w:tc>
              <w:tc>
                <w:tcPr>
                  <w:tcW w:type="dxa" w:w="743"/>
                  <w:gridSpan w:val="2"/>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药品配送</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color w:val="000000"/>
                    </w:rPr>
                    <w:t>支持在线进行药品配送服务下单并选择配送到家服务，支持对接第三方物流后查看物流信息详情。</w:t>
                  </w:r>
                </w:p>
              </w:tc>
            </w:tr>
            <w:tr>
              <w:tc>
                <w:tcPr>
                  <w:tcW w:type="dxa" w:w="12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 xml:space="preserve"> </w:t>
                  </w:r>
                </w:p>
              </w:tc>
              <w:tc>
                <w:tcPr>
                  <w:tcW w:type="dxa" w:w="1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0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3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2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2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 xml:space="preserve"> </w:t>
                  </w:r>
                </w:p>
              </w:tc>
              <w:tc>
                <w:tcPr>
                  <w:tcW w:type="dxa" w:w="1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0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43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2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2546"/>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互联网医院部署资源服务清单</w:t>
                  </w:r>
                </w:p>
              </w:tc>
            </w:tr>
            <w:tr>
              <w:tc>
                <w:tcPr>
                  <w:tcW w:type="dxa" w:w="124"/>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编号</w:t>
                  </w:r>
                </w:p>
              </w:tc>
              <w:tc>
                <w:tcPr>
                  <w:tcW w:type="dxa" w:w="158"/>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设备用途</w:t>
                  </w:r>
                </w:p>
              </w:tc>
              <w:tc>
                <w:tcPr>
                  <w:tcW w:type="dxa" w:w="244"/>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系统</w:t>
                  </w:r>
                </w:p>
              </w:tc>
              <w:tc>
                <w:tcPr>
                  <w:tcW w:type="dxa" w:w="305"/>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配置</w:t>
                  </w:r>
                </w:p>
              </w:tc>
              <w:tc>
                <w:tcPr>
                  <w:tcW w:type="dxa" w:w="438"/>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网络环境</w:t>
                  </w:r>
                </w:p>
              </w:tc>
              <w:tc>
                <w:tcPr>
                  <w:tcW w:type="dxa" w:w="127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业务部署</w:t>
                  </w:r>
                </w:p>
              </w:tc>
            </w:tr>
            <w:tr>
              <w:tc>
                <w:tcPr>
                  <w:tcW w:type="dxa" w:w="1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5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数据库主服务器</w:t>
                  </w:r>
                </w:p>
              </w:tc>
              <w:tc>
                <w:tcPr>
                  <w:tcW w:type="dxa" w:w="244"/>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CentOS 7 以上，或者其他 linux 操作系统</w:t>
                  </w:r>
                </w:p>
              </w:tc>
              <w:tc>
                <w:tcPr>
                  <w:tcW w:type="dxa" w:w="30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16核CPU,64G内存，1T系统磁盘(可扩展)</w:t>
                  </w:r>
                </w:p>
              </w:tc>
              <w:tc>
                <w:tcPr>
                  <w:tcW w:type="dxa" w:w="43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（部署在内网区域，需要与在 DMZ 区部署应用服务的服务器互通）</w:t>
                  </w:r>
                </w:p>
              </w:tc>
              <w:tc>
                <w:tcPr>
                  <w:tcW w:type="dxa" w:w="1277"/>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主部署postgresql数据库</w:t>
                  </w:r>
                </w:p>
              </w:tc>
            </w:tr>
            <w:tr>
              <w:tc>
                <w:tcPr>
                  <w:tcW w:type="dxa" w:w="12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2</w:t>
                  </w:r>
                </w:p>
              </w:tc>
              <w:tc>
                <w:tcPr>
                  <w:tcW w:type="dxa" w:w="15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微服务应用服务器</w:t>
                  </w:r>
                </w:p>
              </w:tc>
              <w:tc>
                <w:tcPr>
                  <w:tcW w:type="dxa" w:w="24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CentOS 7 以上，或者其他 linux 操作系统，</w:t>
                  </w:r>
                </w:p>
              </w:tc>
              <w:tc>
                <w:tcPr>
                  <w:tcW w:type="dxa" w:w="30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8核CPU,64G内存，500G系统磁盘(可扩展)</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DMZ区（网络需要与互联网进行互通）</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部署 MQ，消息队列中间件服务</w:t>
                  </w:r>
                </w:p>
              </w:tc>
            </w:tr>
            <w:tr>
              <w:tc>
                <w:tcPr>
                  <w:tcW w:type="dxa" w:w="12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3</w:t>
                  </w:r>
                </w:p>
              </w:tc>
              <w:tc>
                <w:tcPr>
                  <w:tcW w:type="dxa" w:w="15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微服务应用服务器</w:t>
                  </w:r>
                </w:p>
              </w:tc>
              <w:tc>
                <w:tcPr>
                  <w:tcW w:type="dxa" w:w="24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CentOS 7 以上，或者其他 linux 操作系统，</w:t>
                  </w:r>
                </w:p>
              </w:tc>
              <w:tc>
                <w:tcPr>
                  <w:tcW w:type="dxa" w:w="30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8核CPU,32G内存，500G系统磁盘(可扩展)</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DMZ区（网络需要与互联网进行互通）</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部署智慧健康（一套）</w:t>
                  </w:r>
                </w:p>
              </w:tc>
            </w:tr>
            <w:tr>
              <w:tc>
                <w:tcPr>
                  <w:tcW w:type="dxa" w:w="12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w:t>
                  </w:r>
                </w:p>
              </w:tc>
              <w:tc>
                <w:tcPr>
                  <w:tcW w:type="dxa" w:w="15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微服务应用服务器</w:t>
                  </w:r>
                </w:p>
              </w:tc>
              <w:tc>
                <w:tcPr>
                  <w:tcW w:type="dxa" w:w="24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CentOS 7 以上，或者其他 linux 操作系统</w:t>
                  </w:r>
                </w:p>
              </w:tc>
              <w:tc>
                <w:tcPr>
                  <w:tcW w:type="dxa" w:w="30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8核CPU,32G内存，500G系统磁盘(可扩展)</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DMZ区（服务需要访问互联网，DMZ 区内网访问互联网）</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部署智慧医疗（一套）</w:t>
                  </w:r>
                </w:p>
              </w:tc>
            </w:tr>
            <w:tr>
              <w:tc>
                <w:tcPr>
                  <w:tcW w:type="dxa" w:w="12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5</w:t>
                  </w:r>
                </w:p>
              </w:tc>
              <w:tc>
                <w:tcPr>
                  <w:tcW w:type="dxa" w:w="15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微服务应用服务器</w:t>
                  </w:r>
                </w:p>
              </w:tc>
              <w:tc>
                <w:tcPr>
                  <w:tcW w:type="dxa" w:w="24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CentOS 7 以上，或者其他 linux 操作系统，</w:t>
                  </w:r>
                </w:p>
              </w:tc>
              <w:tc>
                <w:tcPr>
                  <w:tcW w:type="dxa" w:w="30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8核CPU,32G内存，500G系统磁盘(可扩展)</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DMZ区（服务需要访问互联网，DMZ 区内网访问互联网）</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部署微信小程序访问的程序（一套）</w:t>
                  </w:r>
                </w:p>
              </w:tc>
            </w:tr>
            <w:tr>
              <w:tc>
                <w:tcPr>
                  <w:tcW w:type="dxa" w:w="12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6</w:t>
                  </w:r>
                </w:p>
              </w:tc>
              <w:tc>
                <w:tcPr>
                  <w:tcW w:type="dxa" w:w="15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微服务API网关服务器</w:t>
                  </w:r>
                </w:p>
              </w:tc>
              <w:tc>
                <w:tcPr>
                  <w:tcW w:type="dxa" w:w="24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CentOS 7 以上，或者其他 linux 操作系统</w:t>
                  </w:r>
                </w:p>
              </w:tc>
              <w:tc>
                <w:tcPr>
                  <w:tcW w:type="dxa" w:w="30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4核CPU,16G内存，500G系统磁盘(可扩展)</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 xml:space="preserve"> DMZ区（互联网外网可以访问到DMZ 区内网，该网关服务要给微信、支付宝小程序等提供统一的入口）</w:t>
                  </w: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部署统一网关服务一套对外提供统一的访问入口、redis缓存 中间件、nacos 统一服务注册配置中心、前端页面服务</w:t>
                  </w:r>
                </w:p>
              </w:tc>
            </w:tr>
            <w:tr>
              <w:tc>
                <w:tcPr>
                  <w:tcW w:type="dxa" w:w="12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7</w:t>
                  </w:r>
                </w:p>
              </w:tc>
              <w:tc>
                <w:tcPr>
                  <w:tcW w:type="dxa" w:w="15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网络带宽</w:t>
                  </w:r>
                </w:p>
              </w:tc>
              <w:tc>
                <w:tcPr>
                  <w:tcW w:type="dxa" w:w="24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大于50M</w:t>
                  </w:r>
                </w:p>
              </w:tc>
              <w:tc>
                <w:tcPr>
                  <w:tcW w:type="dxa" w:w="30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遇到突发情况可以动态弹缩</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tc>
            </w:tr>
            <w:tr>
              <w:tc>
                <w:tcPr>
                  <w:tcW w:type="dxa" w:w="12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8</w:t>
                  </w:r>
                </w:p>
              </w:tc>
              <w:tc>
                <w:tcPr>
                  <w:tcW w:type="dxa" w:w="15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域名</w:t>
                  </w:r>
                </w:p>
              </w:tc>
              <w:tc>
                <w:tcPr>
                  <w:tcW w:type="dxa" w:w="244"/>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30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在备案后的主域名上面解析一个二级域名，二级域名绑定的IP地址为上述步骤4中两台API网关服务器的地址。</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用于微信小程序后台配置，微信小程序目前只支持 https 并且是备案后的域名配置</w:t>
                  </w:r>
                </w:p>
              </w:tc>
            </w:tr>
            <w:tr>
              <w:tc>
                <w:tcPr>
                  <w:tcW w:type="dxa" w:w="12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9</w:t>
                  </w:r>
                </w:p>
              </w:tc>
              <w:tc>
                <w:tcPr>
                  <w:tcW w:type="dxa" w:w="15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SSL 证书</w:t>
                  </w:r>
                </w:p>
              </w:tc>
              <w:tc>
                <w:tcPr>
                  <w:tcW w:type="dxa" w:w="24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证书下载Ngxin 版本</w:t>
                  </w:r>
                </w:p>
              </w:tc>
              <w:tc>
                <w:tcPr>
                  <w:tcW w:type="dxa" w:w="305"/>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绑定的域名为上述步骤7解析出的二级域名</w:t>
                  </w:r>
                </w:p>
              </w:tc>
              <w:tc>
                <w:tcPr>
                  <w:tcW w:type="dxa" w:w="438"/>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127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用于微信小程序后台的配置，微信小程序目前只支持 https 并且是备案后的域名配置</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 人员稳定性：核心服务人员未经采购人同意不得随意更换，如需调整人员，需提前7个工作日书面报备，并完成工作交接，保障服务连续性。 专项培训服务：服务期内免费为采购人工作人员、平台使用用户提供操作培训，全月专项培训不少于2次。</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（一）系统性能指标 平台可用性：服务周期内平台整体运行可用率≥99.90%；核心业务模块可用率≥99.95%，按月进行数据统计，未达标按违约处理。 并发承载能力：平台系统可稳定承载日常在线用户≥300人，高峰期支持瞬时并发访问≥500人，无卡顿、闪退、访问失败等问题，可满足业务峰值使用需求。 页面响应时效：普通静态页面、基础业务查询平均响应时间≤3秒；复杂数据统计、多条件检索、报表生成等深度业务功能，平均响应时间≤6秒。 数据同步要求：平台业务数据、用户信息、公告资讯等数据同步延迟≤5分钟；跨部门、跨系统对接数据，同步周期不得超过30分钟。 （二）故障处置指标 故障分级界定：一级故障（平台整体瘫痪、核心功能无法使用）、二级故障（单项业务模块异常）、三级故障（页面BUG、非功能性轻微问题）。 响应与修复时限：一级故障10分钟内接收反馈、3小时内完成修复；二级故障20分钟内响应、6小时内完成修复；三级故障1小时内响应、24小时内闭环整改。 容灾备份机制：每日自动完成全量数据备份，留存备份数据不少于30日；每月开展不少于1次备份还原测试，保障数据丢失风险可控，意外故障可快速恢复。 （三）网络与数据安全指标 合规执行标准：严格遵循《网络安全法》《数据安全法》《个人信息保护法》及政务信息化平台相关安全规范，定期开展安全自查。 安全防护要求：配备防注入、防爬虫、防DDOS攻击、权限分级管控等防护机制；禁止私自采集、泄露、倒卖平台用户隐私数据及业务涉密数据。 安全事件处置：发生网络攻击、数据异常、违规访问等安全事件，5分钟内上报采购人，2小时内出具处置方案，同步完成漏洞修复与风险排查。 权限管理：实行最小权限分配原则，分级设置管理员、运营人员、普通用户权限，所有操作留存日志，操作日志保存时长不少于6个月。 （四）日常运营维护指标 日常巡检工作：每日开展系统运行、服务器状态、功能模块、数据传输全方位巡检；每周出具巡检简报，每月提交平台整体运行分析月报。 内容运营要求：按采购人需求完成平台公告、政策资讯、业务内容更新，过期内容及时清理；杜绝虚假信息、违规违禁内容，内容更新准确率100%。 版本迭代优化：针对平台BUG、功能短板及时优化升级；根据采购人业务需求，每季度可提供1次免费小型功能迭代优化服务。</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自签订合同之日十五日内完成项目开发服务，维护期限为验收后起延三年。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大荔县中医医院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试运行周期结束，系统运行稳定、无重大安全及功能故障，一般性问题整改完毕后，由承建单位向采购人提交预验收申请。验收小组开展全面预检，排查所有交付内容，汇总问题并下达整改通知书，承建单位完成闭环整改并通过复核后，方可进入最终竣工验收阶段。</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进度款，合同签订验收合格后15个工作日内支付合同价款总额的40%，达到付款条件起15个工作日内，支付合同总金额的40.0%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进度款，合同签订两年后支付合同价款总金额的30%，达到付款条件起15个工作日内，支付合同总金额的30.0%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进度款，合同服务期最后一个月支付合同价款总额的30%，达到付款条件起15个工作日内，支付合同总金额的30.0%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任何一方擅自变更合作内容、提前终止合作、泄露项目涉密数据及患者隐私、违反行业合规规范的，均构成违约，需赔偿守约方全部经济损失与名誉损失；因违约行为引发监管处罚、医疗纠纷、用户投诉的，全部责任由违约方独立承担。 （二）争议解决的方法 1. 协商解决：项目合作、运营服务过程中产生的一切争议、纠纷，包括但不限于履约纠纷、权责划分、费用结算、医疗服务争议、数据安全纠纷等，各方首先秉持平等自愿、诚信合规原则进行友好协商，明确整改方案与处置结果，高效化解争议。 2. 调解处理：双方协商无法达成一致的，可主动提请属地卫生健康行政部门、医疗纠纷人民调解委员会、市场监管部门介入调解，依托行业监管规范与医疗服务准则，出具调解方案，妥善处置各类纠纷。 3. 司法诉讼：协商、调解均无法解决争议的，所有纠纷统一提交甲方（实体医院）所在地有管辖权的人民法院通过诉讼方式解决，严格按照国家现行法律法规、互联网医疗行业管理规范执行判决。 4. 争议处置原则：争议解决期间，除争议事项外，本项目其余合作内容、服务流程、运营工作持续正常推进，各方不得擅自中止、终止项目服务，避免扩大损失；诉讼、调解过程中产生的律师费、诉讼费、鉴定费、赔偿金等全部合理费用，最终由败诉方或违约方承担。</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完整审计报告，成立时间至提交磋商响应文件截止时间不足1年的提供磋商前一个月内基本存款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供应商认为有必要补充说明的事宜.docx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（1）在中华人民共和国境内注册，具有独立承担民事责任能力的法人、其他组织或自然人，具备从事本采购项目的经营范围和履约能力，提供合法有效的企业营业执照、法人证书或登记证书； （2）提供2026年1月至今任意一个月已缴纳的纳税证明或完税证明（包含增值税、企业所得税、营业税至少一种）；（依法免税的投标人应提供相关文件证明） （3）提供2026年1月至今任意一个月的社保缴费凭据或社保机构开具的社会保险参保缴费情况证明；（依法不需要缴纳社会保障资金的投标人应提供相关证明） （4）提供参加政府采购活动前三年内在经营活动中没有重大违法记录的书面声明； （5）提供法定代表人授权书（附法定代表人有效身份证复印件，法定代表人直接参加只需提供法定代表人有效身份证）及被授权人有效身份证原件。； （6）投标人不得为“信用中国”网站（www.creditchina.gov.cn）中列入失信被执行人和重大税收违法案件当事人名单的投标人，不得为中国政府采购网（www.ccgp.gov.cn）购活动的政府采购严重违法失信行为记录名单中被财政部门禁止参加政府采投标人。</w:t>
            </w:r>
          </w:p>
        </w:tc>
        <w:tc>
          <w:tcPr>
            <w:tcW w:type="dxa" w:w="1661"/>
          </w:tcPr>
          <w:p>
            <w:pPr>
              <w:pStyle w:val="null3"/>
            </w:pPr>
            <w:r>
              <w:rPr>
                <w:rFonts w:ascii="仿宋_GB2312" w:hAnsi="仿宋_GB2312" w:cs="仿宋_GB2312" w:eastAsia="仿宋_GB2312"/>
              </w:rPr>
              <w:t>供应商应提交的相关资格证明材料 法定代表人授权书.docx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类似业绩的有关证明材料.docx 中小企业声明函 商务应答表 供应商应提交的相关资格证明材料 服务内容及服务要求应答表 法定代表人授权书.docx 响应文件封面 磋商声明书.docx 残疾人福利性单位声明函 拒绝政府采购领域商业贿赂承诺书.docx 竞争性磋商承诺书.docx 服务方案 标的清单 响应函 供应商认为有必要补充说明的事宜.docx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（1）只能有一个有效报价，不接受选择性报价； （2）第一次磋商报价表填写符合要求； （3）计量单位、报价货币均符合磋商文件要求； （4）第一次磋商报价未超出采购预算或磋商文件规定的最高限价； （5）第一次磋商报价没有与市场价偏差较大、低于成本、可能影响货物质量或不能诚信履约。</w:t>
            </w:r>
          </w:p>
        </w:tc>
        <w:tc>
          <w:tcPr>
            <w:tcW w:type="dxa" w:w="1661"/>
          </w:tcPr>
          <w:p>
            <w:pPr>
              <w:pStyle w:val="null3"/>
            </w:pPr>
            <w:r>
              <w:rPr>
                <w:rFonts w:ascii="仿宋_GB2312" w:hAnsi="仿宋_GB2312" w:cs="仿宋_GB2312" w:eastAsia="仿宋_GB2312"/>
              </w:rPr>
              <w:t>响应文件封面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响应文件内容不存在漏项或数量与要求不符合磋商文件规定情形，响应内容满足磋商文件的商务、技术等实质性要求</w:t>
            </w:r>
          </w:p>
        </w:tc>
        <w:tc>
          <w:tcPr>
            <w:tcW w:type="dxa" w:w="1661"/>
          </w:tcPr>
          <w:p>
            <w:pPr>
              <w:pStyle w:val="null3"/>
            </w:pPr>
            <w:r>
              <w:rPr>
                <w:rFonts w:ascii="仿宋_GB2312" w:hAnsi="仿宋_GB2312" w:cs="仿宋_GB2312" w:eastAsia="仿宋_GB2312"/>
              </w:rPr>
              <w:t>响应文件封面 拟投入本项目人员力量配备.docx 应急处理预案.docx 商务应答表 服务方案 服务内容及服务要求应答表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合同草案条款响应</w:t>
            </w:r>
          </w:p>
        </w:tc>
        <w:tc>
          <w:tcPr>
            <w:tcW w:type="dxa" w:w="3322"/>
          </w:tcPr>
          <w:p>
            <w:pPr>
              <w:pStyle w:val="null3"/>
            </w:pPr>
            <w:r>
              <w:rPr>
                <w:rFonts w:ascii="仿宋_GB2312" w:hAnsi="仿宋_GB2312" w:cs="仿宋_GB2312" w:eastAsia="仿宋_GB2312"/>
              </w:rPr>
              <w:t>有完全理解并接受磋商文件合同草案条款要求的描述。</w:t>
            </w:r>
          </w:p>
        </w:tc>
        <w:tc>
          <w:tcPr>
            <w:tcW w:type="dxa" w:w="1661"/>
          </w:tcPr>
          <w:p>
            <w:pPr>
              <w:pStyle w:val="null3"/>
            </w:pPr>
            <w:r>
              <w:rPr>
                <w:rFonts w:ascii="仿宋_GB2312" w:hAnsi="仿宋_GB2312" w:cs="仿宋_GB2312" w:eastAsia="仿宋_GB2312"/>
              </w:rPr>
              <w:t>响应文件封面 商务应答表 服务内容及服务要求应答表 供应商认为有必要补充说明的事宜.docx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响应文件中如含有采购人不接受的附加条件，或存在不符合磋商文件规定的其他条款则被视为无效响应。</w:t>
            </w:r>
          </w:p>
        </w:tc>
        <w:tc>
          <w:tcPr>
            <w:tcW w:type="dxa" w:w="1661"/>
          </w:tcPr>
          <w:p>
            <w:pPr>
              <w:pStyle w:val="null3"/>
            </w:pPr>
            <w:r>
              <w:rPr>
                <w:rFonts w:ascii="仿宋_GB2312" w:hAnsi="仿宋_GB2312" w:cs="仿宋_GB2312" w:eastAsia="仿宋_GB2312"/>
              </w:rPr>
              <w:t>响应文件封面 供应商认为有必要补充说明的事宜.docx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w:t>
            </w:r>
          </w:p>
        </w:tc>
        <w:tc>
          <w:tcPr>
            <w:tcW w:type="dxa" w:w="2492"/>
          </w:tcPr>
          <w:p>
            <w:pPr>
              <w:pStyle w:val="null3"/>
            </w:pPr>
            <w:r>
              <w:rPr>
                <w:rFonts w:ascii="仿宋_GB2312" w:hAnsi="仿宋_GB2312" w:cs="仿宋_GB2312" w:eastAsia="仿宋_GB2312"/>
              </w:rPr>
              <w:t>投标文件质保期、承诺等商务要求完全响应得3分，每偏离一项扣0.5分，扣完为止。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投标人提供2023年7月至今的类似业绩证明，要求提供对应合同复印件，每提供一份得1分。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类似业绩的有关证明材料.docx</w:t>
            </w:r>
          </w:p>
        </w:tc>
      </w:tr>
      <w:tr>
        <w:tc>
          <w:tcPr>
            <w:tcW w:type="dxa" w:w="831"/>
            <w:vMerge/>
          </w:tcPr>
          <w:p/>
        </w:tc>
        <w:tc>
          <w:tcPr>
            <w:tcW w:type="dxa" w:w="1661"/>
          </w:tcPr>
          <w:p>
            <w:pPr>
              <w:pStyle w:val="null3"/>
            </w:pPr>
            <w:r>
              <w:rPr>
                <w:rFonts w:ascii="仿宋_GB2312" w:hAnsi="仿宋_GB2312" w:cs="仿宋_GB2312" w:eastAsia="仿宋_GB2312"/>
              </w:rPr>
              <w:t>综合能力</w:t>
            </w:r>
          </w:p>
        </w:tc>
        <w:tc>
          <w:tcPr>
            <w:tcW w:type="dxa" w:w="2492"/>
          </w:tcPr>
          <w:p>
            <w:pPr>
              <w:pStyle w:val="null3"/>
            </w:pPr>
            <w:r>
              <w:rPr>
                <w:rFonts w:ascii="仿宋_GB2312" w:hAnsi="仿宋_GB2312" w:cs="仿宋_GB2312" w:eastAsia="仿宋_GB2312"/>
              </w:rPr>
              <w:t>投标人满足以下要求： ①具有信息技术服务管理体系认证证书，得1.5分； ②具有信息安全管理体系认证证书，得1.5分。 ③具有软件成熟度CMMI3级及以上证书，得1.5分； ④具有计算机软件著作权登记证书，得1.5分； 注：需提供上述证书在有效期内的复印件，提供全部的、满足要求的证书复印件，不提供或提供虚假材料此项不得分。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完全满足采购需求功能和技术要求得10分，每偏离一项扣0.5分，扣完为止。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1、针对本项目总体实施方案：方案科学合理、针对性强、可操作性高，覆盖全部实施环节（6分）；方案整体合理，覆盖主要实施环节，仅存在轻微优化空间（3分）；方案与项目实施要求严重不符（0分）； 2、项目组织及协调方案：方案内容完整、逻辑清晰、贴合项目实际，措施详实可落地，创新性强（6分）；方案内容较完整，主要内容无缺失，措施基本可行，少量细节不完善（3分）；内容残缺、架构混乱、措施空洞，无法满足项目实施要求（0分）； 3、系统调试方案：方案架构完整、逻辑严谨，完全匹配项目系统功能与建设目标；调试范围、流程、标准、人员配置全覆盖，措施细化可直接落地，具备专项优化调试建议（3分）；包含基础调试框架，核心调试环节有所涉及，但内容笼统、针对性不足；未结合本系统特性制定专属调试内容，通用化内容占比过高（1分）； 4、项目风险控制：方案体系完整、逻辑清晰，完全贴合本项目实施特点；风险识别全覆盖，评估科学量化，分级防控措施细化可行，应急预案完备，具备动态预警及长效管控机制（3分）；具备基础风控框架，涵盖主要风险类别，但内容笼统、针对性不足；未结合项目实际痛点制定专属管控措施，通用模板化内容占比较高（1分）； 5、项目验收方案：方案体系完整、逻辑清晰，贴合本项目建设内容及交付要求；验收阶段划分合理、标准量化清晰，流程闭环完整，覆盖从初验、试运行到终验全流程，资料归档、问题整改、移交机制完善，可直接作为项目验收执行依据（2分）；具备基础验收框架，涵盖主要验收环节，但内容笼统、针对性不足；未结合项目实际建设内容制定专属验收细则，通用模板化内容占比较高（1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企业组织架构：企业组织架构完整，层级划分合理，核心职能部门无缺失；岗位职责、人员配置、内部管理制度基本完善（3分）;具备基础企业组织框架，涵盖主要职能部门，但整体内容笼统、针对性不足（1分)； 2、拟投入人员名单，人员具有相关证书，投入人员须提供社保缴纳证明：需提供上述证书在有效期内满足要求的证书人员提供一个得1分，共5分，不提供或提供虚假材料此项不得分； 3、人员日常管理制度等内容：管理制度体系完整、逻辑严谨，完全结合本项目现场实施特点；人员管理全覆盖，条款细化、权责分明，考勤、行为、培训、奖惩机制健全（2分）;制度条款笼统、针对性不足；未结合项目现场作业特点制定专属管控细则（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拟投入本项目人员力量配备.docx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1、服务保障方案；架构完整、逻辑严谨，深度结合本项目建设内容与交付需求；全周期服务覆盖全面，保障措施细化量化、权责清晰，响应机制高效，专属服务方案针对性极强（3分）；制度条款笼统、针对性不足；未结合项目现场作业及运维特点制定专属服务管控细则（1分)。 2、信息安全保障措施；安全保障体系架构完整、逻辑严谨，深度结合本项目系统架构、业务场景及数据属性（3分）；方案内容残缺，多项核心安全防护模块缺失；安全防护逻辑混乱、无明确防护标准及管控手段（1分)。 3、本地化服务能力。本地化服务体系完整、逻辑清晰，深度结合项目属地实际情况；常驻团队、办公场地、软硬件资源配置完善（2分）;方案内容残缺，多项核心本地化保障模块缺失；无常驻人员、无固定属地服务机制、无明确响应时效，无法满足项目属地服务基本要求（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售后服务方案（包括服务承诺、售后服务团队、培训）：售后服务体系完整、逻辑严谨，完全贴合本项目软硬件及系统运行特点；服务架构健全、质保内容详实（3分）；具备基础售后服务框架，涵盖基础质保与故障处理内容，但整体方案笼统、针对性不足（1分)。 2、应急方案：应急保障体系完整、逻辑严谨，深度结合本项目实施全过程特点；风险识别全面（3分）；涵盖基础风险防控与应急处置内容，但整体方案笼统、针对性不足（1分)。 3、合理化建议等内容：合理化建议体系完整、逻辑清晰，深度结合本项目实际重难点（2分）；现状剖析透彻，所有优化建议针对性极强、可落地性高；整体方案笼统、针对性不足；未结合本项目重难点制定专属优化建议（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应急处理预案.docx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价为评审基准价，其价格分为满分。磋商报价得分=（磋商基准价÷供应商最后磋商报价）×价格权值×100，得分保留2位小数。投标人为中小企业，且提供有效《中小企业声明函》的，对其投标报价给予10%价格优惠，以优惠后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详见附件：磋商声明书.docx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详见附件：竞争性磋商承诺书.docx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详见附件：拟投入本项目人员力量配备.docx</w:t>
      </w:r>
    </w:p>
    <w:p>
      <w:pPr>
        <w:pStyle w:val="null3"/>
        <w:ind w:firstLine="960"/>
      </w:pPr>
      <w:r>
        <w:rPr>
          <w:rFonts w:ascii="仿宋_GB2312" w:hAnsi="仿宋_GB2312" w:cs="仿宋_GB2312" w:eastAsia="仿宋_GB2312"/>
        </w:rPr>
        <w:t>详见附件：应急处理预案.docx</w:t>
      </w:r>
    </w:p>
    <w:p>
      <w:pPr>
        <w:pStyle w:val="null3"/>
        <w:ind w:firstLine="960"/>
      </w:pPr>
      <w:r>
        <w:rPr>
          <w:rFonts w:ascii="仿宋_GB2312" w:hAnsi="仿宋_GB2312" w:cs="仿宋_GB2312" w:eastAsia="仿宋_GB2312"/>
        </w:rPr>
        <w:t>详见附件：类似业绩的有关证明材料.docx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