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版本号：ZLC-XA-202600720260610001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区级及横向部门综治视联网平台升级服务项目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ZLC-XA-2026007</w:t>
      </w:r>
      <w:r>
        <w:br/>
      </w:r>
      <w:r>
        <w:br/>
      </w:r>
      <w:r>
        <w:br/>
      </w:r>
    </w:p>
    <w:p>
      <w:pPr>
        <w:pStyle w:val="null3"/>
        <w:jc w:val="center"/>
        <w:outlineLvl w:val="2"/>
      </w:pPr>
      <w:r>
        <w:rPr>
          <w:rFonts w:ascii="仿宋_GB2312" w:hAnsi="仿宋_GB2312" w:cs="仿宋_GB2312" w:eastAsia="仿宋_GB2312"/>
          <w:sz w:val="28"/>
          <w:b/>
        </w:rPr>
        <w:t>中国共产党西安市阎良区委员会政法委员会</w:t>
      </w:r>
    </w:p>
    <w:p>
      <w:pPr>
        <w:pStyle w:val="null3"/>
        <w:jc w:val="center"/>
        <w:outlineLvl w:val="2"/>
      </w:pPr>
      <w:r>
        <w:rPr>
          <w:rFonts w:ascii="仿宋_GB2312" w:hAnsi="仿宋_GB2312" w:cs="仿宋_GB2312" w:eastAsia="仿宋_GB2312"/>
          <w:sz w:val="28"/>
          <w:b/>
        </w:rPr>
        <w:t>西安众力诚工程项目管理有限公司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西安众力诚工程项目管理有限公司</w:t>
      </w:r>
      <w:r>
        <w:rPr>
          <w:rFonts w:ascii="仿宋_GB2312" w:hAnsi="仿宋_GB2312" w:cs="仿宋_GB2312" w:eastAsia="仿宋_GB2312"/>
        </w:rPr>
        <w:t>（以下简称“代理机构”）受</w:t>
      </w:r>
      <w:r>
        <w:rPr>
          <w:rFonts w:ascii="仿宋_GB2312" w:hAnsi="仿宋_GB2312" w:cs="仿宋_GB2312" w:eastAsia="仿宋_GB2312"/>
        </w:rPr>
        <w:t>中国共产党西安市阎良区委员会政法委员会</w:t>
      </w:r>
      <w:r>
        <w:rPr>
          <w:rFonts w:ascii="仿宋_GB2312" w:hAnsi="仿宋_GB2312" w:cs="仿宋_GB2312" w:eastAsia="仿宋_GB2312"/>
        </w:rPr>
        <w:t>委托，拟对</w:t>
      </w:r>
      <w:r>
        <w:rPr>
          <w:rFonts w:ascii="仿宋_GB2312" w:hAnsi="仿宋_GB2312" w:cs="仿宋_GB2312" w:eastAsia="仿宋_GB2312"/>
        </w:rPr>
        <w:t>区级及横向部门综治视联网平台升级服务项目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ZLC-XA-2026007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区级及横向部门综治视联网平台升级服务项目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中央、省、市统一部署，阎良区于2024年实施了区级及横向部门综治视联网项目（一期）建设，建成了覆盖区、街、社区（村）三级节点，横向联通区属各部门、重点保障单位的综治视联网平台，实现了视频会议、会商调度、应急指挥、资源共享等核心功能。 2024年5月，根据《西安市阎良区机构改革方案》，原社会治理办平安建设职能划转至区委政法委，由区委政法委全面承接综治视联网平台的运维与业务保障工作。随着一期项目合同将于2026年1月到期，同时现有平台在长期运行中面临系统持续运维保障压力增大、网络链路支撑能力不足、多场景应用适配性待提升等新挑战，为确保综治视联网平台7×24小时不间断服务，持续强化区、街、社区（村）三级自主调度管理能力，顺畅实现与省市平台的互联互通，全面支撑会议组织、远程调度、应急保障等多场景业务开展，对原综治视联网平台进行升级服务。项目将通过视联网系统平台持续运维、链路与线路保障、覆盖线路使用、新增互联网专线部署及维保服务，进一步提升平台的稳定性、可靠性与业务支撑能力，延续并深化上期项目建设成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7、履行合同承诺：提供具有履行合同所必需的设备和专业技术能力的承诺函；未为本项目提供整体设计、规范编制或者项目管理、监理、检测等服务；</w:t>
      </w:r>
    </w:p>
    <w:p>
      <w:pPr>
        <w:pStyle w:val="null3"/>
      </w:pPr>
      <w:r>
        <w:rPr>
          <w:rFonts w:ascii="仿宋_GB2312" w:hAnsi="仿宋_GB2312" w:cs="仿宋_GB2312" w:eastAsia="仿宋_GB2312"/>
        </w:rPr>
        <w:t>8、法定代表人授权委托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中国共产党西安市阎良区委员会政法委员会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西安市阎良区凤凰路街道凤凰东路1号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冯博伟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029-86207401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西安众力诚工程项目管理有限公司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西安市经济技术开发区凤城九路海博广场C座5幢1单元3-315室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029-83228339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采购包1：413,400.00元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中标单位在领取中标通知书前，须向招标代理机构一次性支付招标代理服务费。 招标代理服务费账户： 户名：西安众力诚工程项目管理有限公司 开户行：中国银行股份有限公司西安西影路东段支行 账 号：103292368638 联系电话：029-83228339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中国共产党西安市阎良区委员会政法委员会</w:t>
      </w:r>
      <w:r>
        <w:rPr>
          <w:rFonts w:ascii="仿宋_GB2312" w:hAnsi="仿宋_GB2312" w:cs="仿宋_GB2312" w:eastAsia="仿宋_GB2312"/>
        </w:rPr>
        <w:t>和</w:t>
      </w:r>
      <w:r>
        <w:rPr>
          <w:rFonts w:ascii="仿宋_GB2312" w:hAnsi="仿宋_GB2312" w:cs="仿宋_GB2312" w:eastAsia="仿宋_GB2312"/>
        </w:rPr>
        <w:t>西安众力诚工程项目管理有限公司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中国共产党西安市阎良区委员会政法委员会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西安众力诚工程项目管理有限公司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中国共产党西安市阎良区委员会政法委员会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西安众力诚工程项目管理有限公司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在服务周期内，保障客户随时参与省、市、区、街道、社区（村）五级综治视联网视频会议.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中国共产党西安市阎良区委员会政法委员会</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西安众力诚工程项目管理有限公司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西安众力诚工程项目管理有限公司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联系人：郝晋</w:t>
      </w:r>
    </w:p>
    <w:p>
      <w:pPr>
        <w:pStyle w:val="null3"/>
      </w:pPr>
      <w:r>
        <w:rPr>
          <w:rFonts w:ascii="仿宋_GB2312" w:hAnsi="仿宋_GB2312" w:cs="仿宋_GB2312" w:eastAsia="仿宋_GB2312"/>
        </w:rPr>
        <w:t>联系电话：029-83228339</w:t>
      </w:r>
    </w:p>
    <w:p>
      <w:pPr>
        <w:pStyle w:val="null3"/>
      </w:pPr>
      <w:r>
        <w:rPr>
          <w:rFonts w:ascii="仿宋_GB2312" w:hAnsi="仿宋_GB2312" w:cs="仿宋_GB2312" w:eastAsia="仿宋_GB2312"/>
        </w:rPr>
        <w:t>地址：西安市经济技术开发区凤城九路海博广场C座5幢1单元3-315室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中央、省、市统一部署，阎良区于2024年实施了区级及横向部门综治视联网项目（一期）建设，建成了覆盖区、街、社区（村）三级节点，横向联通区属各部门、重点保障单位的综治视联网平台，实现了视频会议、会商调度、应急指挥、资源共享等核心功能。 2024年5月，根据《西安市阎良区机构改革方案》，原社会治理办平安建设职能划转至区委政法委，由区委政法委全面承接综治视联网平台的运维与业务保障工作。随着一期项目合同将于2026年1月到期，同时现有平台在长期运行中面临系统持续运维保障压力增大、网络链路支撑能力不足、多场景应用适配性待提升等新挑战，为确保综治视联网平台7×24小时不间断服务，持续强化区、街、社区（村）三级自主调度管理能力，顺畅实现与省市平台的互联互通，全面支撑会议组织、远程调度、应急保障等多场景业务开展，对原综治视联网平台进行升级服务。项目将通过视联网系统平台持续运维、链路与线路保障、覆盖线路使用、新增互联网专线部署及维保服务，进一步提升平台的稳定性、可靠性与业务支撑能力，延续并深化上期项目建设成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413,400.00</w:t>
      </w:r>
    </w:p>
    <w:p>
      <w:pPr>
        <w:pStyle w:val="null3"/>
      </w:pPr>
      <w:r>
        <w:rPr>
          <w:rFonts w:ascii="仿宋_GB2312" w:hAnsi="仿宋_GB2312" w:cs="仿宋_GB2312" w:eastAsia="仿宋_GB2312"/>
        </w:rPr>
        <w:t>采购包最高限价（元）: 413,400.00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区级及横向部门综治视联网平台升级服务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413,400.00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标的名称：区级及横向部门综治视联网平台升级服务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7"/>
                <w:b/>
              </w:rPr>
              <w:t>一、项目概况</w:t>
            </w:r>
          </w:p>
          <w:p>
            <w:pPr>
              <w:pStyle w:val="null3"/>
              <w:ind w:firstLine="480"/>
              <w:jc w:val="left"/>
            </w:pPr>
            <w:r>
              <w:rPr>
                <w:rFonts w:ascii="仿宋_GB2312" w:hAnsi="仿宋_GB2312" w:cs="仿宋_GB2312" w:eastAsia="仿宋_GB2312"/>
                <w:sz w:val="27"/>
              </w:rPr>
              <w:t>按照中央、省、市统一部署，阎良区于2024年实施了区级及横向部门综治视联网项目（一期）建设，建成了覆盖区、街、社区（村）三级节点，横向联通区属各部门、重点保障单位的综治视联网平台，实现了视频会议、会商调度、应急指挥、资源共享等核心功能。</w:t>
            </w:r>
          </w:p>
          <w:p>
            <w:pPr>
              <w:pStyle w:val="null3"/>
              <w:ind w:firstLine="480"/>
              <w:jc w:val="left"/>
            </w:pPr>
            <w:r>
              <w:rPr>
                <w:rFonts w:ascii="仿宋_GB2312" w:hAnsi="仿宋_GB2312" w:cs="仿宋_GB2312" w:eastAsia="仿宋_GB2312"/>
                <w:sz w:val="27"/>
              </w:rPr>
              <w:t>2024年5月，根据《西安市阎良区机构改革方案》，原社会治理办平安建设职能划转至区委政法委，由区委政法委全面承接综治视联网平台的运维与业务保障工作。随着一期项目合同将于2026年1月到期，同时现有平台在长期运行中面临系统持续运维保障压力增大、网络链路支撑能力不足、多场景应用适配性待提升等新挑战，为确保综治视联网平台7×24小时不间断服务，持续强化区、街、社区（村）三级自主调度管理能力，顺畅实现与省市平台的互联互通，全面支撑会议组织、远程调度、应急保障等多场景业务开展，对原综治视联网平台进行升级服务。项目将通过视联网系统平台持续运维、链路与线路保障、覆盖线路使用、新增互联网专线部署及维保服务，进一步提升平台的稳定性、可靠性与业务支撑能力，延续并深化上期项目建设成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420"/>
              <w:jc w:val="both"/>
            </w:pPr>
            <w:r>
              <w:rPr>
                <w:rFonts w:ascii="仿宋_GB2312" w:hAnsi="仿宋_GB2312" w:cs="仿宋_GB2312" w:eastAsia="仿宋_GB2312"/>
                <w:sz w:val="27"/>
                <w:b/>
              </w:rPr>
              <w:t>二、服务内容</w:t>
            </w:r>
          </w:p>
          <w:p>
            <w:pPr>
              <w:pStyle w:val="null3"/>
              <w:ind w:left="420"/>
              <w:jc w:val="both"/>
            </w:pPr>
            <w:r>
              <w:rPr>
                <w:rFonts w:ascii="仿宋_GB2312" w:hAnsi="仿宋_GB2312" w:cs="仿宋_GB2312" w:eastAsia="仿宋_GB2312"/>
                <w:sz w:val="27"/>
              </w:rPr>
              <w:t>区级综治视联网平台服务，用于满足综治视联网区、街、社区（村）三级自主调度管理及与省市联通，支持会议组织、会议调度、会议保障等多场景应用，包括系统部署、线路及服务保障。拟在一期区级综治视联网项目的基础上进行升级，包括视联网系统平台持续运维、链路与保障，覆盖线路使用费，新增互联网专线、维保及服务保障。</w:t>
            </w:r>
          </w:p>
          <w:p>
            <w:pPr>
              <w:pStyle w:val="null3"/>
              <w:ind w:right="-150" w:firstLine="480"/>
              <w:jc w:val="both"/>
            </w:pPr>
            <w:r>
              <w:rPr>
                <w:rFonts w:ascii="仿宋_GB2312" w:hAnsi="仿宋_GB2312" w:cs="仿宋_GB2312" w:eastAsia="仿宋_GB2312"/>
                <w:sz w:val="27"/>
              </w:rPr>
              <w:t>具体服务项目如下表所示。</w:t>
            </w:r>
            <w:r>
              <w:rPr>
                <w:rFonts w:ascii="仿宋_GB2312" w:hAnsi="仿宋_GB2312" w:cs="仿宋_GB2312" w:eastAsia="仿宋_GB2312"/>
                <w:sz w:val="27"/>
                <w:b/>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330"/>
              <w:gridCol w:w="789"/>
              <w:gridCol w:w="1428"/>
            </w:tblGrid>
            <w:tr>
              <w:tc>
                <w:tcPr>
                  <w:tcW w:type="dxa" w:w="254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服务清单</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序号</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服务名称</w:t>
                  </w:r>
                </w:p>
              </w:tc>
              <w:tc>
                <w:tcPr>
                  <w:tcW w:type="dxa" w:w="1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服务</w:t>
                  </w:r>
                  <w:r>
                    <w:rPr>
                      <w:rFonts w:ascii="仿宋_GB2312" w:hAnsi="仿宋_GB2312" w:cs="仿宋_GB2312" w:eastAsia="仿宋_GB2312"/>
                      <w:sz w:val="27"/>
                      <w:color w:val="000000"/>
                    </w:rPr>
                    <w:t>类型</w:t>
                  </w:r>
                </w:p>
              </w:tc>
            </w:tr>
            <w:tr>
              <w:tc>
                <w:tcPr>
                  <w:tcW w:type="dxa" w:w="3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1</w:t>
                  </w:r>
                </w:p>
              </w:tc>
              <w:tc>
                <w:tcPr>
                  <w:tcW w:type="dxa" w:w="78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线路服务</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数据专线</w:t>
                  </w:r>
                </w:p>
              </w:tc>
            </w:tr>
            <w:tr>
              <w:tc>
                <w:tcPr>
                  <w:tcW w:type="dxa" w:w="330"/>
                  <w:vMerge/>
                  <w:tcBorders>
                    <w:top w:val="none" w:color="000000" w:sz="4"/>
                    <w:left w:val="single" w:color="000000" w:sz="4"/>
                    <w:bottom w:val="none" w:color="000000" w:sz="4"/>
                    <w:right w:val="single" w:color="000000" w:sz="4"/>
                  </w:tcBorders>
                </w:tcPr>
                <w:p/>
              </w:tc>
              <w:tc>
                <w:tcPr>
                  <w:tcW w:type="dxa" w:w="789"/>
                  <w:vMerge/>
                  <w:tcBorders>
                    <w:top w:val="none" w:color="000000" w:sz="4"/>
                    <w:left w:val="none" w:color="000000" w:sz="4"/>
                    <w:bottom w:val="none" w:color="000000" w:sz="4"/>
                    <w:right w:val="single" w:color="000000" w:sz="4"/>
                  </w:tcBorders>
                </w:tcP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互联网专线</w:t>
                  </w:r>
                </w:p>
              </w:tc>
            </w:tr>
            <w:tr>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2</w:t>
                  </w:r>
                </w:p>
              </w:tc>
              <w:tc>
                <w:tcPr>
                  <w:tcW w:type="dxa" w:w="7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运维服务</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设备运维</w:t>
                  </w:r>
                </w:p>
              </w:tc>
            </w:tr>
            <w:tr>
              <w:tc>
                <w:tcPr>
                  <w:tcW w:type="dxa" w:w="330"/>
                  <w:vMerge/>
                  <w:tcBorders>
                    <w:top w:val="none" w:color="000000" w:sz="4"/>
                    <w:left w:val="single" w:color="000000" w:sz="4"/>
                    <w:bottom w:val="single" w:color="000000" w:sz="4"/>
                    <w:right w:val="single" w:color="000000" w:sz="4"/>
                  </w:tcBorders>
                </w:tcPr>
                <w:p/>
              </w:tc>
              <w:tc>
                <w:tcPr>
                  <w:tcW w:type="dxa" w:w="789"/>
                  <w:vMerge/>
                  <w:tcBorders>
                    <w:top w:val="none" w:color="000000" w:sz="4"/>
                    <w:left w:val="none" w:color="000000" w:sz="4"/>
                    <w:bottom w:val="single" w:color="000000" w:sz="4"/>
                    <w:right w:val="single" w:color="000000" w:sz="4"/>
                  </w:tcBorders>
                </w:tcP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平台运维</w:t>
                  </w:r>
                </w:p>
              </w:tc>
            </w:tr>
            <w:tr>
              <w:tc>
                <w:tcPr>
                  <w:tcW w:type="dxa" w:w="330"/>
                  <w:vMerge/>
                  <w:tcBorders>
                    <w:top w:val="none" w:color="000000" w:sz="4"/>
                    <w:left w:val="single" w:color="000000" w:sz="4"/>
                    <w:bottom w:val="single" w:color="000000" w:sz="4"/>
                    <w:right w:val="single" w:color="000000" w:sz="4"/>
                  </w:tcBorders>
                </w:tcPr>
                <w:p/>
              </w:tc>
              <w:tc>
                <w:tcPr>
                  <w:tcW w:type="dxa" w:w="789"/>
                  <w:vMerge/>
                  <w:tcBorders>
                    <w:top w:val="none" w:color="000000" w:sz="4"/>
                    <w:left w:val="none" w:color="000000" w:sz="4"/>
                    <w:bottom w:val="single" w:color="000000" w:sz="4"/>
                    <w:right w:val="single" w:color="000000" w:sz="4"/>
                  </w:tcBorders>
                </w:tcP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软件运维</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3</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网络服务</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视联网加密接入网</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7"/>
                <w:b/>
              </w:rPr>
              <w:t>三、技术要求</w:t>
            </w:r>
          </w:p>
          <w:p>
            <w:pPr>
              <w:pStyle w:val="null3"/>
              <w:jc w:val="both"/>
            </w:pPr>
            <w:r>
              <w:rPr>
                <w:rFonts w:ascii="仿宋_GB2312" w:hAnsi="仿宋_GB2312" w:cs="仿宋_GB2312" w:eastAsia="仿宋_GB2312"/>
                <w:sz w:val="27"/>
              </w:rPr>
              <w:t xml:space="preserve">    线路资源和运维服务不低于下述标准：</w:t>
            </w:r>
          </w:p>
          <w:tbl>
            <w:tblPr>
              <w:tblBorders>
                <w:top w:val="none" w:color="000000" w:sz="4"/>
                <w:left w:val="none" w:color="000000" w:sz="4"/>
                <w:bottom w:val="none" w:color="000000" w:sz="4"/>
                <w:right w:val="none" w:color="000000" w:sz="4"/>
                <w:insideH w:val="none"/>
                <w:insideV w:val="none"/>
              </w:tblBorders>
            </w:tblPr>
            <w:tblGrid>
              <w:gridCol w:w="269"/>
              <w:gridCol w:w="434"/>
              <w:gridCol w:w="1381"/>
              <w:gridCol w:w="224"/>
              <w:gridCol w:w="237"/>
            </w:tblGrid>
            <w:tr>
              <w:tc>
                <w:tcPr>
                  <w:tcW w:type="dxa" w:w="254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采购</w:t>
                  </w:r>
                  <w:r>
                    <w:rPr>
                      <w:rFonts w:ascii="仿宋_GB2312" w:hAnsi="仿宋_GB2312" w:cs="仿宋_GB2312" w:eastAsia="仿宋_GB2312"/>
                      <w:sz w:val="27"/>
                      <w:color w:val="000000"/>
                    </w:rPr>
                    <w:t>服务</w:t>
                  </w:r>
                  <w:r>
                    <w:rPr>
                      <w:rFonts w:ascii="仿宋_GB2312" w:hAnsi="仿宋_GB2312" w:cs="仿宋_GB2312" w:eastAsia="仿宋_GB2312"/>
                      <w:sz w:val="27"/>
                      <w:color w:val="000000"/>
                    </w:rPr>
                    <w:t>清单</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序号</w:t>
                  </w:r>
                </w:p>
              </w:tc>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名称</w:t>
                  </w:r>
                </w:p>
              </w:tc>
              <w:tc>
                <w:tcPr>
                  <w:tcW w:type="dxa" w:w="1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服务</w:t>
                  </w:r>
                  <w:r>
                    <w:rPr>
                      <w:rFonts w:ascii="仿宋_GB2312" w:hAnsi="仿宋_GB2312" w:cs="仿宋_GB2312" w:eastAsia="仿宋_GB2312"/>
                      <w:sz w:val="27"/>
                      <w:color w:val="000000"/>
                    </w:rPr>
                    <w:t>功能描述</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规格</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数量</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1</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数据专线</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rPr>
                    <w:t>100M数据专线</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条</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rPr>
                    <w:t>3</w:t>
                  </w:r>
                </w:p>
              </w:tc>
            </w:tr>
            <w:tr>
              <w:tc>
                <w:tcPr>
                  <w:tcW w:type="dxa" w:w="269"/>
                  <w:vMerge/>
                  <w:tcBorders>
                    <w:top w:val="none" w:color="000000" w:sz="4"/>
                    <w:left w:val="single" w:color="000000" w:sz="4"/>
                    <w:bottom w:val="single" w:color="000000" w:sz="4"/>
                    <w:right w:val="single" w:color="000000" w:sz="4"/>
                  </w:tcBorders>
                </w:tc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互联网专线</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rPr>
                    <w:t>500M互联网专线</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条</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1</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2</w:t>
                  </w:r>
                </w:p>
              </w:tc>
              <w:tc>
                <w:tcPr>
                  <w:tcW w:type="dxa" w:w="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设备运维</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00000"/>
                    </w:rPr>
                    <w:t>1、</w:t>
                  </w:r>
                  <w:r>
                    <w:rPr>
                      <w:rFonts w:ascii="仿宋_GB2312" w:hAnsi="仿宋_GB2312" w:cs="仿宋_GB2312" w:eastAsia="仿宋_GB2312"/>
                      <w:sz w:val="27"/>
                      <w:color w:val="000000"/>
                    </w:rPr>
                    <w:t>视联网核心系统保障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项</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1</w:t>
                  </w:r>
                </w:p>
              </w:tc>
            </w:tr>
            <w:tr>
              <w:tc>
                <w:tcPr>
                  <w:tcW w:type="dxa" w:w="269"/>
                  <w:vMerge/>
                  <w:tcBorders>
                    <w:top w:val="none" w:color="000000" w:sz="4"/>
                    <w:left w:val="single" w:color="000000" w:sz="4"/>
                    <w:bottom w:val="single" w:color="000000" w:sz="4"/>
                    <w:right w:val="single" w:color="000000" w:sz="4"/>
                  </w:tcBorders>
                </w:tcPr>
                <w:p/>
              </w:tc>
              <w:tc>
                <w:tcPr>
                  <w:tcW w:type="dxa" w:w="434"/>
                  <w:vMerge/>
                  <w:tcBorders>
                    <w:top w:val="none" w:color="000000" w:sz="4"/>
                    <w:left w:val="single" w:color="000000" w:sz="4"/>
                    <w:bottom w:val="single" w:color="000000" w:sz="4"/>
                    <w:right w:val="single" w:color="000000" w:sz="4"/>
                  </w:tcBorders>
                </w:tcP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00000"/>
                    </w:rPr>
                    <w:t>2、</w:t>
                  </w:r>
                  <w:r>
                    <w:rPr>
                      <w:rFonts w:ascii="仿宋_GB2312" w:hAnsi="仿宋_GB2312" w:cs="仿宋_GB2312" w:eastAsia="仿宋_GB2312"/>
                      <w:sz w:val="27"/>
                      <w:color w:val="000000"/>
                    </w:rPr>
                    <w:t>视联网极光5终端</w:t>
                  </w:r>
                  <w:r>
                    <w:rPr>
                      <w:rFonts w:ascii="仿宋_GB2312" w:hAnsi="仿宋_GB2312" w:cs="仿宋_GB2312" w:eastAsia="仿宋_GB2312"/>
                      <w:sz w:val="27"/>
                      <w:color w:val="000000"/>
                    </w:rPr>
                    <w:t>保障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2</w:t>
                  </w:r>
                </w:p>
              </w:tc>
            </w:tr>
            <w:tr>
              <w:tc>
                <w:tcPr>
                  <w:tcW w:type="dxa" w:w="269"/>
                  <w:vMerge/>
                  <w:tcBorders>
                    <w:top w:val="none" w:color="000000" w:sz="4"/>
                    <w:left w:val="single" w:color="000000" w:sz="4"/>
                    <w:bottom w:val="single" w:color="000000" w:sz="4"/>
                    <w:right w:val="single" w:color="000000" w:sz="4"/>
                  </w:tcBorders>
                </w:tcPr>
                <w:p/>
              </w:tc>
              <w:tc>
                <w:tcPr>
                  <w:tcW w:type="dxa" w:w="434"/>
                  <w:vMerge/>
                  <w:tcBorders>
                    <w:top w:val="none" w:color="000000" w:sz="4"/>
                    <w:left w:val="single" w:color="000000" w:sz="4"/>
                    <w:bottom w:val="single" w:color="000000" w:sz="4"/>
                    <w:right w:val="single" w:color="000000" w:sz="4"/>
                  </w:tcBorders>
                </w:tcP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00000"/>
                    </w:rPr>
                    <w:t>3、</w:t>
                  </w:r>
                  <w:r>
                    <w:rPr>
                      <w:rFonts w:ascii="仿宋_GB2312" w:hAnsi="仿宋_GB2312" w:cs="仿宋_GB2312" w:eastAsia="仿宋_GB2312"/>
                      <w:sz w:val="27"/>
                      <w:color w:val="000000"/>
                    </w:rPr>
                    <w:t>视联网</w:t>
                  </w:r>
                  <w:r>
                    <w:rPr>
                      <w:rFonts w:ascii="仿宋_GB2312" w:hAnsi="仿宋_GB2312" w:cs="仿宋_GB2312" w:eastAsia="仿宋_GB2312"/>
                      <w:sz w:val="27"/>
                      <w:color w:val="000000"/>
                    </w:rPr>
                    <w:t>4k</w:t>
                  </w:r>
                  <w:r>
                    <w:rPr>
                      <w:rFonts w:ascii="仿宋_GB2312" w:hAnsi="仿宋_GB2312" w:cs="仿宋_GB2312" w:eastAsia="仿宋_GB2312"/>
                      <w:sz w:val="27"/>
                      <w:color w:val="000000"/>
                    </w:rPr>
                    <w:t>会议系统</w:t>
                  </w:r>
                  <w:r>
                    <w:rPr>
                      <w:rFonts w:ascii="仿宋_GB2312" w:hAnsi="仿宋_GB2312" w:cs="仿宋_GB2312" w:eastAsia="仿宋_GB2312"/>
                      <w:sz w:val="27"/>
                      <w:color w:val="000000"/>
                    </w:rPr>
                    <w:t>保障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项</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1</w:t>
                  </w:r>
                </w:p>
              </w:tc>
            </w:tr>
            <w:tr>
              <w:tc>
                <w:tcPr>
                  <w:tcW w:type="dxa" w:w="269"/>
                  <w:vMerge/>
                  <w:tcBorders>
                    <w:top w:val="none" w:color="000000" w:sz="4"/>
                    <w:left w:val="single" w:color="000000" w:sz="4"/>
                    <w:bottom w:val="single" w:color="000000" w:sz="4"/>
                    <w:right w:val="single" w:color="000000" w:sz="4"/>
                  </w:tcBorders>
                </w:tcPr>
                <w:p/>
              </w:tc>
              <w:tc>
                <w:tcPr>
                  <w:tcW w:type="dxa" w:w="434"/>
                  <w:vMerge/>
                  <w:tcBorders>
                    <w:top w:val="none" w:color="000000" w:sz="4"/>
                    <w:left w:val="single" w:color="000000" w:sz="4"/>
                    <w:bottom w:val="single" w:color="000000" w:sz="4"/>
                    <w:right w:val="single" w:color="000000" w:sz="4"/>
                  </w:tcBorders>
                </w:tcP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000000"/>
                    </w:rPr>
                    <w:t>4、</w:t>
                  </w:r>
                  <w:r>
                    <w:rPr>
                      <w:rFonts w:ascii="仿宋_GB2312" w:hAnsi="仿宋_GB2312" w:cs="仿宋_GB2312" w:eastAsia="仿宋_GB2312"/>
                      <w:sz w:val="27"/>
                      <w:color w:val="000000"/>
                    </w:rPr>
                    <w:t>数据核心交换机</w:t>
                  </w:r>
                  <w:r>
                    <w:rPr>
                      <w:rFonts w:ascii="仿宋_GB2312" w:hAnsi="仿宋_GB2312" w:cs="仿宋_GB2312" w:eastAsia="仿宋_GB2312"/>
                      <w:sz w:val="27"/>
                      <w:color w:val="000000"/>
                    </w:rPr>
                    <w:t>保障</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项</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1</w:t>
                  </w:r>
                </w:p>
              </w:tc>
            </w:tr>
            <w:tr>
              <w:tc>
                <w:tcPr>
                  <w:tcW w:type="dxa" w:w="269"/>
                  <w:vMerge/>
                  <w:tcBorders>
                    <w:top w:val="none" w:color="000000" w:sz="4"/>
                    <w:left w:val="single" w:color="000000" w:sz="4"/>
                    <w:bottom w:val="single" w:color="000000" w:sz="4"/>
                    <w:right w:val="single" w:color="000000" w:sz="4"/>
                  </w:tcBorders>
                </w:tc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平台运维</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1B1C21"/>
                    </w:rPr>
                    <w:t>视联网会议感知系统等管理平台的运维</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项</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1</w:t>
                  </w:r>
                </w:p>
              </w:tc>
            </w:tr>
            <w:tr>
              <w:tc>
                <w:tcPr>
                  <w:tcW w:type="dxa" w:w="269"/>
                  <w:vMerge/>
                  <w:tcBorders>
                    <w:top w:val="none" w:color="000000" w:sz="4"/>
                    <w:left w:val="single" w:color="000000" w:sz="4"/>
                    <w:bottom w:val="single" w:color="000000" w:sz="4"/>
                    <w:right w:val="single" w:color="000000" w:sz="4"/>
                  </w:tcBorders>
                </w:tc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软件运维</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1B1C21"/>
                    </w:rPr>
                    <w:t>优化系统功能确保系统软件稳定运行，提供补丁升级、固件升级</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项</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1</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3</w:t>
                  </w:r>
                </w:p>
              </w:tc>
              <w:tc>
                <w:tcPr>
                  <w:tcW w:type="dxa" w:w="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网络服务</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1B1C21"/>
                    </w:rPr>
                    <w:t>1、</w:t>
                  </w:r>
                  <w:r>
                    <w:rPr>
                      <w:rFonts w:ascii="仿宋_GB2312" w:hAnsi="仿宋_GB2312" w:cs="仿宋_GB2312" w:eastAsia="仿宋_GB2312"/>
                      <w:sz w:val="27"/>
                      <w:color w:val="1B1C21"/>
                    </w:rPr>
                    <w:t>100M视联专网</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条</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113</w:t>
                  </w:r>
                </w:p>
              </w:tc>
            </w:tr>
            <w:tr>
              <w:tc>
                <w:tcPr>
                  <w:tcW w:type="dxa" w:w="269"/>
                  <w:vMerge/>
                  <w:tcBorders>
                    <w:top w:val="none" w:color="000000" w:sz="4"/>
                    <w:left w:val="single" w:color="000000" w:sz="4"/>
                    <w:bottom w:val="single" w:color="000000" w:sz="4"/>
                    <w:right w:val="single" w:color="000000" w:sz="4"/>
                  </w:tcBorders>
                </w:tcPr>
                <w:p/>
              </w:tc>
              <w:tc>
                <w:tcPr>
                  <w:tcW w:type="dxa" w:w="434"/>
                  <w:vMerge/>
                  <w:tcBorders>
                    <w:top w:val="none" w:color="000000" w:sz="4"/>
                    <w:left w:val="single" w:color="000000" w:sz="4"/>
                    <w:bottom w:val="single" w:color="000000" w:sz="4"/>
                    <w:right w:val="single" w:color="000000" w:sz="4"/>
                  </w:tcBorders>
                </w:tcP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color w:val="1B1C21"/>
                    </w:rPr>
                    <w:t>2、SD-WAN设备服务</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台</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color w:val="000000"/>
                    </w:rPr>
                    <w:t>113</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left="420"/>
              <w:jc w:val="both"/>
            </w:pPr>
            <w:r>
              <w:rPr>
                <w:rFonts w:ascii="仿宋_GB2312" w:hAnsi="仿宋_GB2312" w:cs="仿宋_GB2312" w:eastAsia="仿宋_GB2312"/>
                <w:sz w:val="27"/>
                <w:b/>
              </w:rPr>
              <w:t>四、服务要求</w:t>
            </w:r>
          </w:p>
          <w:p>
            <w:pPr>
              <w:pStyle w:val="null3"/>
              <w:ind w:firstLine="240"/>
              <w:jc w:val="left"/>
            </w:pPr>
            <w:r>
              <w:rPr>
                <w:rFonts w:ascii="仿宋_GB2312" w:hAnsi="仿宋_GB2312" w:cs="仿宋_GB2312" w:eastAsia="仿宋_GB2312"/>
                <w:sz w:val="27"/>
              </w:rPr>
              <w:t>进一步提升</w:t>
            </w:r>
            <w:r>
              <w:rPr>
                <w:rFonts w:ascii="仿宋_GB2312" w:hAnsi="仿宋_GB2312" w:cs="仿宋_GB2312" w:eastAsia="仿宋_GB2312"/>
                <w:sz w:val="27"/>
              </w:rPr>
              <w:t>全区</w:t>
            </w:r>
            <w:r>
              <w:rPr>
                <w:rFonts w:ascii="仿宋_GB2312" w:hAnsi="仿宋_GB2312" w:cs="仿宋_GB2312" w:eastAsia="仿宋_GB2312"/>
                <w:sz w:val="27"/>
              </w:rPr>
              <w:t>综治视联网系统组会承载能力，</w:t>
            </w:r>
            <w:r>
              <w:rPr>
                <w:rFonts w:ascii="仿宋_GB2312" w:hAnsi="仿宋_GB2312" w:cs="仿宋_GB2312" w:eastAsia="仿宋_GB2312"/>
                <w:sz w:val="27"/>
              </w:rPr>
              <w:t>满足区</w:t>
            </w:r>
            <w:r>
              <w:rPr>
                <w:rFonts w:ascii="仿宋_GB2312" w:hAnsi="仿宋_GB2312" w:cs="仿宋_GB2312" w:eastAsia="仿宋_GB2312"/>
                <w:sz w:val="27"/>
              </w:rPr>
              <w:t>级及横向部门（区委办、区综治中心）、街道、</w:t>
            </w:r>
            <w:r>
              <w:rPr>
                <w:rFonts w:ascii="仿宋_GB2312" w:hAnsi="仿宋_GB2312" w:cs="仿宋_GB2312" w:eastAsia="仿宋_GB2312"/>
                <w:sz w:val="27"/>
              </w:rPr>
              <w:t>社区</w:t>
            </w:r>
            <w:r>
              <w:rPr>
                <w:rFonts w:ascii="仿宋_GB2312" w:hAnsi="仿宋_GB2312" w:cs="仿宋_GB2312" w:eastAsia="仿宋_GB2312"/>
                <w:sz w:val="27"/>
              </w:rPr>
              <w:t>（</w:t>
            </w:r>
            <w:r>
              <w:rPr>
                <w:rFonts w:ascii="仿宋_GB2312" w:hAnsi="仿宋_GB2312" w:cs="仿宋_GB2312" w:eastAsia="仿宋_GB2312"/>
                <w:sz w:val="27"/>
              </w:rPr>
              <w:t>村</w:t>
            </w:r>
            <w:r>
              <w:rPr>
                <w:rFonts w:ascii="仿宋_GB2312" w:hAnsi="仿宋_GB2312" w:cs="仿宋_GB2312" w:eastAsia="仿宋_GB2312"/>
                <w:sz w:val="27"/>
              </w:rPr>
              <w:t>）</w:t>
            </w:r>
            <w:r>
              <w:rPr>
                <w:rFonts w:ascii="仿宋_GB2312" w:hAnsi="仿宋_GB2312" w:cs="仿宋_GB2312" w:eastAsia="仿宋_GB2312"/>
                <w:sz w:val="27"/>
              </w:rPr>
              <w:t>三级综治视联网</w:t>
            </w:r>
            <w:r>
              <w:rPr>
                <w:rFonts w:ascii="仿宋_GB2312" w:hAnsi="仿宋_GB2312" w:cs="仿宋_GB2312" w:eastAsia="仿宋_GB2312"/>
                <w:sz w:val="27"/>
              </w:rPr>
              <w:t>系统扩容、</w:t>
            </w:r>
            <w:r>
              <w:rPr>
                <w:rFonts w:ascii="仿宋_GB2312" w:hAnsi="仿宋_GB2312" w:cs="仿宋_GB2312" w:eastAsia="仿宋_GB2312"/>
                <w:sz w:val="27"/>
              </w:rPr>
              <w:t>自主调度</w:t>
            </w:r>
            <w:r>
              <w:rPr>
                <w:rFonts w:ascii="仿宋_GB2312" w:hAnsi="仿宋_GB2312" w:cs="仿宋_GB2312" w:eastAsia="仿宋_GB2312"/>
                <w:sz w:val="27"/>
              </w:rPr>
              <w:t>、</w:t>
            </w:r>
            <w:r>
              <w:rPr>
                <w:rFonts w:ascii="仿宋_GB2312" w:hAnsi="仿宋_GB2312" w:cs="仿宋_GB2312" w:eastAsia="仿宋_GB2312"/>
                <w:sz w:val="27"/>
              </w:rPr>
              <w:t>应急指挥，具备视频</w:t>
            </w:r>
            <w:r>
              <w:rPr>
                <w:rFonts w:ascii="仿宋_GB2312" w:hAnsi="仿宋_GB2312" w:cs="仿宋_GB2312" w:eastAsia="仿宋_GB2312"/>
                <w:sz w:val="27"/>
              </w:rPr>
              <w:t>会议组织服务</w:t>
            </w:r>
            <w:r>
              <w:rPr>
                <w:rFonts w:ascii="仿宋_GB2312" w:hAnsi="仿宋_GB2312" w:cs="仿宋_GB2312" w:eastAsia="仿宋_GB2312"/>
                <w:sz w:val="27"/>
              </w:rPr>
              <w:t>、</w:t>
            </w:r>
            <w:r>
              <w:rPr>
                <w:rFonts w:ascii="仿宋_GB2312" w:hAnsi="仿宋_GB2312" w:cs="仿宋_GB2312" w:eastAsia="仿宋_GB2312"/>
                <w:sz w:val="27"/>
              </w:rPr>
              <w:t>会议调度服务</w:t>
            </w:r>
            <w:r>
              <w:rPr>
                <w:rFonts w:ascii="仿宋_GB2312" w:hAnsi="仿宋_GB2312" w:cs="仿宋_GB2312" w:eastAsia="仿宋_GB2312"/>
                <w:sz w:val="27"/>
              </w:rPr>
              <w:t>、</w:t>
            </w:r>
            <w:r>
              <w:rPr>
                <w:rFonts w:ascii="仿宋_GB2312" w:hAnsi="仿宋_GB2312" w:cs="仿宋_GB2312" w:eastAsia="仿宋_GB2312"/>
                <w:sz w:val="27"/>
              </w:rPr>
              <w:t>会议保障服务</w:t>
            </w:r>
            <w:r>
              <w:rPr>
                <w:rFonts w:ascii="仿宋_GB2312" w:hAnsi="仿宋_GB2312" w:cs="仿宋_GB2312" w:eastAsia="仿宋_GB2312"/>
                <w:sz w:val="27"/>
              </w:rPr>
              <w:t>等</w:t>
            </w:r>
            <w:r>
              <w:rPr>
                <w:rFonts w:ascii="仿宋_GB2312" w:hAnsi="仿宋_GB2312" w:cs="仿宋_GB2312" w:eastAsia="仿宋_GB2312"/>
                <w:sz w:val="27"/>
              </w:rPr>
              <w:t>功能</w:t>
            </w:r>
            <w:r>
              <w:rPr>
                <w:rFonts w:ascii="仿宋_GB2312" w:hAnsi="仿宋_GB2312" w:cs="仿宋_GB2312" w:eastAsia="仿宋_GB2312"/>
                <w:sz w:val="27"/>
              </w:rPr>
              <w:t>，</w:t>
            </w:r>
            <w:r>
              <w:rPr>
                <w:rFonts w:ascii="仿宋_GB2312" w:hAnsi="仿宋_GB2312" w:cs="仿宋_GB2312" w:eastAsia="仿宋_GB2312"/>
                <w:sz w:val="27"/>
              </w:rPr>
              <w:t>切实保障中央政法委、省、市、区、街道、社区（村）六级综治视联网系统可自由进行组会，</w:t>
            </w:r>
            <w:r>
              <w:rPr>
                <w:rFonts w:ascii="仿宋_GB2312" w:hAnsi="仿宋_GB2312" w:cs="仿宋_GB2312" w:eastAsia="仿宋_GB2312"/>
                <w:sz w:val="27"/>
              </w:rPr>
              <w:t>实现全区所辖</w:t>
            </w:r>
            <w:r>
              <w:rPr>
                <w:rFonts w:ascii="仿宋_GB2312" w:hAnsi="仿宋_GB2312" w:cs="仿宋_GB2312" w:eastAsia="仿宋_GB2312"/>
                <w:sz w:val="27"/>
              </w:rPr>
              <w:t>相</w:t>
            </w:r>
            <w:r>
              <w:rPr>
                <w:rFonts w:ascii="仿宋_GB2312" w:hAnsi="仿宋_GB2312" w:cs="仿宋_GB2312" w:eastAsia="仿宋_GB2312"/>
                <w:sz w:val="27"/>
              </w:rPr>
              <w:t>关</w:t>
            </w:r>
            <w:r>
              <w:rPr>
                <w:rFonts w:ascii="仿宋_GB2312" w:hAnsi="仿宋_GB2312" w:cs="仿宋_GB2312" w:eastAsia="仿宋_GB2312"/>
                <w:sz w:val="27"/>
              </w:rPr>
              <w:t>单位机构跨层级、跨区域、跨部门视频通讯调度、</w:t>
            </w:r>
            <w:r>
              <w:rPr>
                <w:rFonts w:ascii="仿宋_GB2312" w:hAnsi="仿宋_GB2312" w:cs="仿宋_GB2312" w:eastAsia="仿宋_GB2312"/>
                <w:sz w:val="27"/>
              </w:rPr>
              <w:t>业务工作培训、</w:t>
            </w:r>
            <w:r>
              <w:rPr>
                <w:rFonts w:ascii="仿宋_GB2312" w:hAnsi="仿宋_GB2312" w:cs="仿宋_GB2312" w:eastAsia="仿宋_GB2312"/>
                <w:sz w:val="27"/>
              </w:rPr>
              <w:t>应急指挥保障</w:t>
            </w:r>
            <w:r>
              <w:rPr>
                <w:rFonts w:ascii="仿宋_GB2312" w:hAnsi="仿宋_GB2312" w:cs="仿宋_GB2312" w:eastAsia="仿宋_GB2312"/>
                <w:sz w:val="27"/>
              </w:rPr>
              <w:t>等目标。</w:t>
            </w:r>
          </w:p>
          <w:p>
            <w:pPr>
              <w:pStyle w:val="null3"/>
              <w:ind w:firstLine="480"/>
              <w:jc w:val="left"/>
            </w:pPr>
            <w:r>
              <w:rPr>
                <w:rFonts w:ascii="仿宋_GB2312" w:hAnsi="仿宋_GB2312" w:cs="仿宋_GB2312" w:eastAsia="仿宋_GB2312"/>
                <w:sz w:val="27"/>
              </w:rPr>
              <w:t>1.须与阎良区一期综治视联网平台、省市级综治视联网系统实现无缝对接、统一调度、数据互通，确保整体架构兼容稳定。</w:t>
            </w:r>
          </w:p>
          <w:p>
            <w:pPr>
              <w:pStyle w:val="null3"/>
              <w:ind w:firstLine="480"/>
              <w:jc w:val="left"/>
            </w:pPr>
            <w:r>
              <w:rPr>
                <w:rFonts w:ascii="仿宋_GB2312" w:hAnsi="仿宋_GB2312" w:cs="仿宋_GB2312" w:eastAsia="仿宋_GB2312"/>
                <w:sz w:val="27"/>
              </w:rPr>
              <w:t>2.全面提升全区综治视联网系统点位覆盖能力、并发承载能力、应急调度能力，满足区级各横向部门、街道、社区（村）综治视联网系统扩容接入、自主调度、应急指挥、视频会商等业务需求。</w:t>
            </w:r>
          </w:p>
          <w:p>
            <w:pPr>
              <w:pStyle w:val="null3"/>
              <w:ind w:firstLine="480"/>
              <w:jc w:val="left"/>
            </w:pPr>
            <w:r>
              <w:rPr>
                <w:rFonts w:ascii="仿宋_GB2312" w:hAnsi="仿宋_GB2312" w:cs="仿宋_GB2312" w:eastAsia="仿宋_GB2312"/>
                <w:sz w:val="27"/>
              </w:rPr>
              <w:t>3.提供视频会议组织服务、会议调度服务、会议保障服务、日常运维服务，确保中央、省、市、区、街道、社区（村）六级综治视联网系统可随时组会、稳定联通、不掉线、不卡顿。</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left="420"/>
              <w:jc w:val="both"/>
            </w:pPr>
            <w:r>
              <w:rPr>
                <w:rFonts w:ascii="仿宋_GB2312" w:hAnsi="仿宋_GB2312" w:cs="仿宋_GB2312" w:eastAsia="仿宋_GB2312"/>
                <w:sz w:val="27"/>
                <w:b/>
              </w:rPr>
              <w:t>五、商务要求</w:t>
            </w:r>
          </w:p>
          <w:p>
            <w:pPr>
              <w:pStyle w:val="null3"/>
              <w:jc w:val="left"/>
            </w:pPr>
            <w:r>
              <w:rPr>
                <w:rFonts w:ascii="仿宋_GB2312" w:hAnsi="仿宋_GB2312" w:cs="仿宋_GB2312" w:eastAsia="仿宋_GB2312"/>
                <w:sz w:val="27"/>
              </w:rPr>
              <w:t>1.1.项目名称：区级及横向部门综治视联网平台</w:t>
            </w:r>
            <w:r>
              <w:rPr>
                <w:rFonts w:ascii="仿宋_GB2312" w:hAnsi="仿宋_GB2312" w:cs="仿宋_GB2312" w:eastAsia="仿宋_GB2312"/>
                <w:sz w:val="27"/>
              </w:rPr>
              <w:t>升级</w:t>
            </w:r>
            <w:r>
              <w:rPr>
                <w:rFonts w:ascii="仿宋_GB2312" w:hAnsi="仿宋_GB2312" w:cs="仿宋_GB2312" w:eastAsia="仿宋_GB2312"/>
                <w:sz w:val="27"/>
              </w:rPr>
              <w:t>服务项目</w:t>
            </w:r>
            <w:r>
              <w:rPr>
                <w:rFonts w:ascii="仿宋_GB2312" w:hAnsi="仿宋_GB2312" w:cs="仿宋_GB2312" w:eastAsia="仿宋_GB2312"/>
                <w:sz w:val="27"/>
              </w:rPr>
              <w:t xml:space="preserve">  </w:t>
            </w:r>
          </w:p>
          <w:p>
            <w:pPr>
              <w:pStyle w:val="null3"/>
              <w:jc w:val="left"/>
            </w:pPr>
            <w:r>
              <w:rPr>
                <w:rFonts w:ascii="仿宋_GB2312" w:hAnsi="仿宋_GB2312" w:cs="仿宋_GB2312" w:eastAsia="仿宋_GB2312"/>
                <w:sz w:val="27"/>
              </w:rPr>
              <w:t>1.2.服务期：本项目服务周期</w:t>
            </w:r>
            <w:r>
              <w:rPr>
                <w:rFonts w:ascii="仿宋_GB2312" w:hAnsi="仿宋_GB2312" w:cs="仿宋_GB2312" w:eastAsia="仿宋_GB2312"/>
                <w:sz w:val="27"/>
              </w:rPr>
              <w:t>3</w:t>
            </w:r>
            <w:r>
              <w:rPr>
                <w:rFonts w:ascii="仿宋_GB2312" w:hAnsi="仿宋_GB2312" w:cs="仿宋_GB2312" w:eastAsia="仿宋_GB2312"/>
                <w:sz w:val="27"/>
              </w:rPr>
              <w:t>年。</w:t>
            </w:r>
            <w:r>
              <w:rPr>
                <w:rFonts w:ascii="仿宋_GB2312" w:hAnsi="仿宋_GB2312" w:cs="仿宋_GB2312" w:eastAsia="仿宋_GB2312"/>
                <w:sz w:val="27"/>
              </w:rPr>
              <w:t>其中</w:t>
            </w:r>
            <w:r>
              <w:rPr>
                <w:rFonts w:ascii="仿宋_GB2312" w:hAnsi="仿宋_GB2312" w:cs="仿宋_GB2312" w:eastAsia="仿宋_GB2312"/>
                <w:sz w:val="27"/>
              </w:rPr>
              <w:t>设备到货时间为签订合同之日起</w:t>
            </w:r>
            <w:r>
              <w:rPr>
                <w:rFonts w:ascii="仿宋_GB2312" w:hAnsi="仿宋_GB2312" w:cs="仿宋_GB2312" w:eastAsia="仿宋_GB2312"/>
                <w:sz w:val="27"/>
              </w:rPr>
              <w:t>10</w:t>
            </w:r>
            <w:r>
              <w:rPr>
                <w:rFonts w:ascii="仿宋_GB2312" w:hAnsi="仿宋_GB2312" w:cs="仿宋_GB2312" w:eastAsia="仿宋_GB2312"/>
                <w:sz w:val="27"/>
              </w:rPr>
              <w:t>日内到达采购人指定地点</w:t>
            </w:r>
            <w:r>
              <w:rPr>
                <w:rFonts w:ascii="仿宋_GB2312" w:hAnsi="仿宋_GB2312" w:cs="仿宋_GB2312" w:eastAsia="仿宋_GB2312"/>
                <w:sz w:val="27"/>
              </w:rPr>
              <w:t>并完成安装调试</w:t>
            </w:r>
            <w:r>
              <w:rPr>
                <w:rFonts w:ascii="仿宋_GB2312" w:hAnsi="仿宋_GB2312" w:cs="仿宋_GB2312" w:eastAsia="仿宋_GB2312"/>
                <w:sz w:val="27"/>
              </w:rPr>
              <w:t>。</w:t>
            </w:r>
          </w:p>
          <w:p>
            <w:pPr>
              <w:pStyle w:val="null3"/>
              <w:jc w:val="left"/>
            </w:pPr>
            <w:r>
              <w:rPr>
                <w:rFonts w:ascii="仿宋_GB2312" w:hAnsi="仿宋_GB2312" w:cs="仿宋_GB2312" w:eastAsia="仿宋_GB2312"/>
                <w:sz w:val="27"/>
              </w:rPr>
              <w:t>1.3.服务地点：采购人指定地点。</w:t>
            </w:r>
          </w:p>
          <w:p>
            <w:pPr>
              <w:pStyle w:val="null3"/>
              <w:jc w:val="left"/>
            </w:pPr>
            <w:r>
              <w:rPr>
                <w:rFonts w:ascii="仿宋_GB2312" w:hAnsi="仿宋_GB2312" w:cs="仿宋_GB2312" w:eastAsia="仿宋_GB2312"/>
                <w:sz w:val="27"/>
              </w:rPr>
              <w:t>1.4.付款方式：项目验收合格，一个月内支付服务费（总合同款的9</w:t>
            </w:r>
            <w:r>
              <w:rPr>
                <w:rFonts w:ascii="仿宋_GB2312" w:hAnsi="仿宋_GB2312" w:cs="仿宋_GB2312" w:eastAsia="仿宋_GB2312"/>
                <w:sz w:val="27"/>
              </w:rPr>
              <w:t>0</w:t>
            </w:r>
            <w:r>
              <w:rPr>
                <w:rFonts w:ascii="仿宋_GB2312" w:hAnsi="仿宋_GB2312" w:cs="仿宋_GB2312" w:eastAsia="仿宋_GB2312"/>
                <w:sz w:val="27"/>
              </w:rPr>
              <w:t>%），合同尾款（总合同款的</w:t>
            </w:r>
            <w:r>
              <w:rPr>
                <w:rFonts w:ascii="仿宋_GB2312" w:hAnsi="仿宋_GB2312" w:cs="仿宋_GB2312" w:eastAsia="仿宋_GB2312"/>
                <w:sz w:val="27"/>
              </w:rPr>
              <w:t>10</w:t>
            </w:r>
            <w:r>
              <w:rPr>
                <w:rFonts w:ascii="仿宋_GB2312" w:hAnsi="仿宋_GB2312" w:cs="仿宋_GB2312" w:eastAsia="仿宋_GB2312"/>
                <w:sz w:val="27"/>
              </w:rPr>
              <w:t>%）在合同履行完毕后两个月内付清。</w:t>
            </w:r>
          </w:p>
          <w:p>
            <w:pPr>
              <w:pStyle w:val="null3"/>
              <w:jc w:val="both"/>
            </w:pPr>
            <w:r>
              <w:rPr>
                <w:rFonts w:ascii="仿宋_GB2312" w:hAnsi="仿宋_GB2312" w:cs="仿宋_GB2312" w:eastAsia="仿宋_GB2312"/>
                <w:sz w:val="27"/>
              </w:rPr>
              <w:t>1.5.质量标准：符合国家质量和规范标准。</w:t>
            </w:r>
          </w:p>
          <w:p>
            <w:pPr>
              <w:pStyle w:val="null3"/>
              <w:jc w:val="left"/>
            </w:pPr>
            <w:r>
              <w:rPr>
                <w:rFonts w:ascii="仿宋_GB2312" w:hAnsi="仿宋_GB2312" w:cs="仿宋_GB2312" w:eastAsia="仿宋_GB2312"/>
                <w:sz w:val="27"/>
              </w:rPr>
              <w:t>1.6服务要求：</w:t>
            </w:r>
          </w:p>
          <w:p>
            <w:pPr>
              <w:pStyle w:val="null3"/>
              <w:jc w:val="left"/>
            </w:pPr>
            <w:r>
              <w:rPr>
                <w:rFonts w:ascii="仿宋_GB2312" w:hAnsi="仿宋_GB2312" w:cs="仿宋_GB2312" w:eastAsia="仿宋_GB2312"/>
                <w:sz w:val="27"/>
              </w:rPr>
              <w:t>1.6.1：新建系统须与</w:t>
            </w:r>
            <w:r>
              <w:rPr>
                <w:rFonts w:ascii="仿宋_GB2312" w:hAnsi="仿宋_GB2312" w:cs="仿宋_GB2312" w:eastAsia="仿宋_GB2312"/>
                <w:sz w:val="27"/>
              </w:rPr>
              <w:t>阎良区</w:t>
            </w:r>
            <w:r>
              <w:rPr>
                <w:rFonts w:ascii="仿宋_GB2312" w:hAnsi="仿宋_GB2312" w:cs="仿宋_GB2312" w:eastAsia="仿宋_GB2312"/>
                <w:sz w:val="27"/>
              </w:rPr>
              <w:t>原有综治视联网系统实现无缝对接。</w:t>
            </w:r>
          </w:p>
          <w:p>
            <w:pPr>
              <w:pStyle w:val="null3"/>
              <w:jc w:val="left"/>
            </w:pPr>
            <w:r>
              <w:rPr>
                <w:rFonts w:ascii="仿宋_GB2312" w:hAnsi="仿宋_GB2312" w:cs="仿宋_GB2312" w:eastAsia="仿宋_GB2312"/>
                <w:sz w:val="27"/>
              </w:rPr>
              <w:t>1.6.2：服务周期满后，区级核心服务器</w:t>
            </w:r>
            <w:r>
              <w:rPr>
                <w:rFonts w:ascii="仿宋_GB2312" w:hAnsi="仿宋_GB2312" w:cs="仿宋_GB2312" w:eastAsia="仿宋_GB2312"/>
                <w:sz w:val="27"/>
              </w:rPr>
              <w:t>、</w:t>
            </w:r>
            <w:r>
              <w:rPr>
                <w:rFonts w:ascii="仿宋_GB2312" w:hAnsi="仿宋_GB2312" w:cs="仿宋_GB2312" w:eastAsia="仿宋_GB2312"/>
                <w:sz w:val="27"/>
              </w:rPr>
              <w:t>视频会议终端、</w:t>
            </w:r>
            <w:r>
              <w:rPr>
                <w:rFonts w:ascii="仿宋_GB2312" w:hAnsi="仿宋_GB2312" w:cs="仿宋_GB2312" w:eastAsia="仿宋_GB2312"/>
                <w:sz w:val="27"/>
              </w:rPr>
              <w:t>会议</w:t>
            </w:r>
            <w:r>
              <w:rPr>
                <w:rFonts w:ascii="仿宋_GB2312" w:hAnsi="仿宋_GB2312" w:cs="仿宋_GB2312" w:eastAsia="仿宋_GB2312"/>
                <w:sz w:val="27"/>
              </w:rPr>
              <w:t>调度</w:t>
            </w:r>
            <w:r>
              <w:rPr>
                <w:rFonts w:ascii="仿宋_GB2312" w:hAnsi="仿宋_GB2312" w:cs="仿宋_GB2312" w:eastAsia="仿宋_GB2312"/>
                <w:sz w:val="27"/>
              </w:rPr>
              <w:t>软件</w:t>
            </w:r>
            <w:r>
              <w:rPr>
                <w:rFonts w:ascii="仿宋_GB2312" w:hAnsi="仿宋_GB2312" w:cs="仿宋_GB2312" w:eastAsia="仿宋_GB2312"/>
                <w:sz w:val="27"/>
              </w:rPr>
              <w:t>等相关设备</w:t>
            </w:r>
            <w:r>
              <w:rPr>
                <w:rFonts w:ascii="仿宋_GB2312" w:hAnsi="仿宋_GB2312" w:cs="仿宋_GB2312" w:eastAsia="仿宋_GB2312"/>
                <w:sz w:val="27"/>
              </w:rPr>
              <w:t>归属甲方</w:t>
            </w:r>
            <w:r>
              <w:rPr>
                <w:rFonts w:ascii="仿宋_GB2312" w:hAnsi="仿宋_GB2312" w:cs="仿宋_GB2312" w:eastAsia="仿宋_GB2312"/>
                <w:sz w:val="27"/>
              </w:rPr>
              <w:t>永久性</w:t>
            </w:r>
            <w:r>
              <w:rPr>
                <w:rFonts w:ascii="仿宋_GB2312" w:hAnsi="仿宋_GB2312" w:cs="仿宋_GB2312" w:eastAsia="仿宋_GB2312"/>
                <w:sz w:val="27"/>
              </w:rPr>
              <w:t>使用。</w:t>
            </w:r>
          </w:p>
          <w:p>
            <w:pPr>
              <w:pStyle w:val="null3"/>
              <w:jc w:val="left"/>
            </w:pPr>
            <w:r>
              <w:rPr>
                <w:rFonts w:ascii="仿宋_GB2312" w:hAnsi="仿宋_GB2312" w:cs="仿宋_GB2312" w:eastAsia="仿宋_GB2312"/>
                <w:sz w:val="27"/>
              </w:rPr>
              <w:t>1.7.验收：由采购人验收。</w:t>
            </w:r>
          </w:p>
          <w:p>
            <w:pPr>
              <w:pStyle w:val="null3"/>
              <w:jc w:val="left"/>
            </w:pPr>
            <w:r>
              <w:rPr>
                <w:rFonts w:ascii="仿宋_GB2312" w:hAnsi="仿宋_GB2312" w:cs="仿宋_GB2312" w:eastAsia="仿宋_GB2312"/>
                <w:sz w:val="27"/>
              </w:rPr>
              <w:t>1.8.验收标准及要求：在服务周期内，保障客户</w:t>
            </w:r>
            <w:r>
              <w:rPr>
                <w:rFonts w:ascii="仿宋_GB2312" w:hAnsi="仿宋_GB2312" w:cs="仿宋_GB2312" w:eastAsia="仿宋_GB2312"/>
                <w:sz w:val="27"/>
              </w:rPr>
              <w:t>随时</w:t>
            </w:r>
            <w:r>
              <w:rPr>
                <w:rFonts w:ascii="仿宋_GB2312" w:hAnsi="仿宋_GB2312" w:cs="仿宋_GB2312" w:eastAsia="仿宋_GB2312"/>
                <w:sz w:val="27"/>
              </w:rPr>
              <w:t>参与省、市、区、</w:t>
            </w:r>
            <w:r>
              <w:rPr>
                <w:rFonts w:ascii="仿宋_GB2312" w:hAnsi="仿宋_GB2312" w:cs="仿宋_GB2312" w:eastAsia="仿宋_GB2312"/>
                <w:sz w:val="27"/>
              </w:rPr>
              <w:t>街道</w:t>
            </w:r>
            <w:r>
              <w:rPr>
                <w:rFonts w:ascii="仿宋_GB2312" w:hAnsi="仿宋_GB2312" w:cs="仿宋_GB2312" w:eastAsia="仿宋_GB2312"/>
                <w:sz w:val="27"/>
              </w:rPr>
              <w:t>、社区（村）五级综治</w:t>
            </w:r>
            <w:r>
              <w:rPr>
                <w:rFonts w:ascii="仿宋_GB2312" w:hAnsi="仿宋_GB2312" w:cs="仿宋_GB2312" w:eastAsia="仿宋_GB2312"/>
                <w:sz w:val="27"/>
              </w:rPr>
              <w:t>视联网</w:t>
            </w:r>
            <w:r>
              <w:rPr>
                <w:rFonts w:ascii="仿宋_GB2312" w:hAnsi="仿宋_GB2312" w:cs="仿宋_GB2312" w:eastAsia="仿宋_GB2312"/>
                <w:sz w:val="27"/>
              </w:rPr>
              <w:t>视频会议。</w:t>
            </w:r>
          </w:p>
          <w:p>
            <w:pPr>
              <w:pStyle w:val="null3"/>
              <w:jc w:val="left"/>
            </w:pPr>
            <w:r>
              <w:rPr>
                <w:rFonts w:ascii="仿宋_GB2312" w:hAnsi="仿宋_GB2312" w:cs="仿宋_GB2312" w:eastAsia="仿宋_GB2312"/>
                <w:sz w:val="27"/>
              </w:rPr>
              <w:t>1.9.验收依据：</w:t>
            </w:r>
          </w:p>
          <w:p>
            <w:pPr>
              <w:pStyle w:val="null3"/>
              <w:jc w:val="left"/>
            </w:pPr>
            <w:r>
              <w:rPr>
                <w:rFonts w:ascii="仿宋_GB2312" w:hAnsi="仿宋_GB2312" w:cs="仿宋_GB2312" w:eastAsia="仿宋_GB2312"/>
                <w:sz w:val="27"/>
              </w:rPr>
              <w:t>1.9.1.本合同及附加文本；</w:t>
            </w:r>
          </w:p>
          <w:p>
            <w:pPr>
              <w:pStyle w:val="null3"/>
              <w:jc w:val="left"/>
            </w:pPr>
            <w:r>
              <w:rPr>
                <w:rFonts w:ascii="仿宋_GB2312" w:hAnsi="仿宋_GB2312" w:cs="仿宋_GB2312" w:eastAsia="仿宋_GB2312"/>
                <w:sz w:val="27"/>
              </w:rPr>
              <w:t>1.9.2.招标文件、中标人的投标文件及澄清函、承诺函；</w:t>
            </w:r>
          </w:p>
          <w:p>
            <w:pPr>
              <w:pStyle w:val="null3"/>
              <w:jc w:val="both"/>
            </w:pPr>
            <w:r>
              <w:rPr>
                <w:rFonts w:ascii="仿宋_GB2312" w:hAnsi="仿宋_GB2312" w:cs="仿宋_GB2312" w:eastAsia="仿宋_GB2312"/>
                <w:sz w:val="27"/>
              </w:rPr>
              <w:t>2</w:t>
            </w:r>
            <w:r>
              <w:rPr>
                <w:rFonts w:ascii="仿宋_GB2312" w:hAnsi="仿宋_GB2312" w:cs="仿宋_GB2312" w:eastAsia="仿宋_GB2312"/>
                <w:sz w:val="27"/>
              </w:rPr>
              <w:t>.1.主要商务条款为合同条款的补充内容，与合同格式中规定不一致的，以本商务条款为准。</w:t>
            </w:r>
          </w:p>
          <w:p>
            <w:pPr>
              <w:pStyle w:val="null3"/>
              <w:jc w:val="both"/>
            </w:pPr>
            <w:r>
              <w:rPr>
                <w:rFonts w:ascii="仿宋_GB2312" w:hAnsi="仿宋_GB2312" w:cs="仿宋_GB2312" w:eastAsia="仿宋_GB2312"/>
                <w:sz w:val="27"/>
              </w:rPr>
              <w:t>2</w:t>
            </w:r>
            <w:r>
              <w:rPr>
                <w:rFonts w:ascii="仿宋_GB2312" w:hAnsi="仿宋_GB2312" w:cs="仿宋_GB2312" w:eastAsia="仿宋_GB2312"/>
                <w:sz w:val="27"/>
              </w:rPr>
              <w:t>.2.投标人在投标文件中应对上表所列的商务条款和要求做出逐条响应，投标人对商务条款的响应将作为合同协议书和合同专用条款的主要内容。</w:t>
            </w:r>
          </w:p>
          <w:p>
            <w:pPr>
              <w:pStyle w:val="null3"/>
              <w:jc w:val="both"/>
            </w:pPr>
            <w:r>
              <w:rPr>
                <w:rFonts w:ascii="仿宋_GB2312" w:hAnsi="仿宋_GB2312" w:cs="仿宋_GB2312" w:eastAsia="仿宋_GB2312"/>
                <w:sz w:val="27"/>
              </w:rPr>
              <w:t>2.3.主要商务条款为实质性要求，不接受负偏离。</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7"/>
                <w:b/>
              </w:rPr>
              <w:t>六、其他</w:t>
            </w:r>
          </w:p>
          <w:p>
            <w:pPr>
              <w:pStyle w:val="null3"/>
              <w:jc w:val="left"/>
            </w:pPr>
            <w:r>
              <w:rPr>
                <w:rFonts w:ascii="仿宋_GB2312" w:hAnsi="仿宋_GB2312" w:cs="仿宋_GB2312" w:eastAsia="仿宋_GB2312"/>
                <w:sz w:val="27"/>
              </w:rPr>
              <w:t>（一）质量验收标准或规范</w:t>
            </w:r>
          </w:p>
          <w:p>
            <w:pPr>
              <w:pStyle w:val="null3"/>
              <w:ind w:firstLine="480"/>
              <w:jc w:val="left"/>
            </w:pPr>
            <w:r>
              <w:rPr>
                <w:rFonts w:ascii="仿宋_GB2312" w:hAnsi="仿宋_GB2312" w:cs="仿宋_GB2312" w:eastAsia="仿宋_GB2312"/>
                <w:sz w:val="27"/>
              </w:rPr>
              <w:t>满足国家</w:t>
            </w:r>
            <w:r>
              <w:rPr>
                <w:rFonts w:ascii="仿宋_GB2312" w:hAnsi="仿宋_GB2312" w:cs="仿宋_GB2312" w:eastAsia="仿宋_GB2312"/>
                <w:sz w:val="27"/>
              </w:rPr>
              <w:t>标准</w:t>
            </w:r>
          </w:p>
          <w:p>
            <w:pPr>
              <w:pStyle w:val="null3"/>
              <w:jc w:val="left"/>
            </w:pPr>
            <w:r>
              <w:rPr>
                <w:rFonts w:ascii="仿宋_GB2312" w:hAnsi="仿宋_GB2312" w:cs="仿宋_GB2312" w:eastAsia="仿宋_GB2312"/>
                <w:sz w:val="27"/>
              </w:rPr>
              <w:t>（二）</w:t>
            </w:r>
            <w:r>
              <w:rPr>
                <w:rFonts w:ascii="仿宋_GB2312" w:hAnsi="仿宋_GB2312" w:cs="仿宋_GB2312" w:eastAsia="仿宋_GB2312"/>
                <w:sz w:val="27"/>
              </w:rPr>
              <w:t>其他要求</w:t>
            </w:r>
          </w:p>
          <w:p>
            <w:pPr>
              <w:pStyle w:val="null3"/>
              <w:ind w:firstLine="480"/>
              <w:jc w:val="left"/>
            </w:pPr>
            <w:r>
              <w:rPr>
                <w:rFonts w:ascii="仿宋_GB2312" w:hAnsi="仿宋_GB2312" w:cs="仿宋_GB2312" w:eastAsia="仿宋_GB2312"/>
                <w:sz w:val="27"/>
              </w:rPr>
              <w:t>自验收</w:t>
            </w:r>
            <w:r>
              <w:rPr>
                <w:rFonts w:ascii="仿宋_GB2312" w:hAnsi="仿宋_GB2312" w:cs="仿宋_GB2312" w:eastAsia="仿宋_GB2312"/>
                <w:sz w:val="27"/>
              </w:rPr>
              <w:t>合格</w:t>
            </w:r>
            <w:r>
              <w:rPr>
                <w:rFonts w:ascii="仿宋_GB2312" w:hAnsi="仿宋_GB2312" w:cs="仿宋_GB2312" w:eastAsia="仿宋_GB2312"/>
                <w:sz w:val="27"/>
              </w:rPr>
              <w:t>之日起中标人提供</w:t>
            </w:r>
            <w:r>
              <w:rPr>
                <w:rFonts w:ascii="仿宋_GB2312" w:hAnsi="仿宋_GB2312" w:cs="仿宋_GB2312" w:eastAsia="仿宋_GB2312"/>
                <w:sz w:val="27"/>
              </w:rPr>
              <w:t>三</w:t>
            </w:r>
            <w:r>
              <w:rPr>
                <w:rFonts w:ascii="仿宋_GB2312" w:hAnsi="仿宋_GB2312" w:cs="仿宋_GB2312" w:eastAsia="仿宋_GB2312"/>
                <w:sz w:val="27"/>
              </w:rPr>
              <w:t>年</w:t>
            </w:r>
            <w:r>
              <w:rPr>
                <w:rFonts w:ascii="仿宋_GB2312" w:hAnsi="仿宋_GB2312" w:cs="仿宋_GB2312" w:eastAsia="仿宋_GB2312"/>
                <w:sz w:val="27"/>
                <w:color w:val="000000"/>
              </w:rPr>
              <w:t>综治视联网系统厂商</w:t>
            </w:r>
            <w:r>
              <w:rPr>
                <w:rFonts w:ascii="仿宋_GB2312" w:hAnsi="仿宋_GB2312" w:cs="仿宋_GB2312" w:eastAsia="仿宋_GB2312"/>
                <w:sz w:val="27"/>
              </w:rPr>
              <w:t>运维</w:t>
            </w:r>
            <w:r>
              <w:rPr>
                <w:rFonts w:ascii="仿宋_GB2312" w:hAnsi="仿宋_GB2312" w:cs="仿宋_GB2312" w:eastAsia="仿宋_GB2312"/>
                <w:sz w:val="27"/>
              </w:rPr>
              <w:t>服务。</w:t>
            </w:r>
          </w:p>
          <w:p>
            <w:pPr>
              <w:pStyle w:val="null3"/>
              <w:jc w:val="left"/>
            </w:pPr>
            <w:r>
              <w:rPr>
                <w:rFonts w:ascii="仿宋_GB2312" w:hAnsi="仿宋_GB2312" w:cs="仿宋_GB2312" w:eastAsia="仿宋_GB2312"/>
                <w:sz w:val="27"/>
              </w:rPr>
              <w:t>（三）违约责任</w:t>
            </w:r>
          </w:p>
          <w:p>
            <w:pPr>
              <w:pStyle w:val="null3"/>
              <w:ind w:firstLine="480"/>
              <w:jc w:val="left"/>
            </w:pPr>
            <w:r>
              <w:rPr>
                <w:rFonts w:ascii="仿宋_GB2312" w:hAnsi="仿宋_GB2312" w:cs="仿宋_GB2312" w:eastAsia="仿宋_GB2312"/>
                <w:sz w:val="27"/>
              </w:rPr>
              <w:t>乙方逾期交付产品的（包括返修、更换、补交等），应当自逾期之日起每日按逾期交付部分价款总额的3%向甲方支付违约金。若因乙方原因逾期交货超过</w:t>
            </w:r>
            <w:r>
              <w:rPr>
                <w:rFonts w:ascii="仿宋_GB2312" w:hAnsi="仿宋_GB2312" w:cs="仿宋_GB2312" w:eastAsia="仿宋_GB2312"/>
                <w:sz w:val="27"/>
              </w:rPr>
              <w:t>1</w:t>
            </w:r>
            <w:r>
              <w:rPr>
                <w:rFonts w:ascii="仿宋_GB2312" w:hAnsi="仿宋_GB2312" w:cs="仿宋_GB2312" w:eastAsia="仿宋_GB2312"/>
                <w:sz w:val="27"/>
              </w:rPr>
              <w:t>0天的，甲方有权解除合同，且乙方应向甲方支付合同总价款</w:t>
            </w:r>
            <w:r>
              <w:rPr>
                <w:rFonts w:ascii="仿宋_GB2312" w:hAnsi="仿宋_GB2312" w:cs="仿宋_GB2312" w:eastAsia="仿宋_GB2312"/>
                <w:sz w:val="27"/>
              </w:rPr>
              <w:t>3</w:t>
            </w:r>
            <w:r>
              <w:rPr>
                <w:rFonts w:ascii="仿宋_GB2312" w:hAnsi="仿宋_GB2312" w:cs="仿宋_GB2312" w:eastAsia="仿宋_GB2312"/>
                <w:sz w:val="27"/>
              </w:rPr>
              <w:t>0%的违约金</w:t>
            </w:r>
            <w:r>
              <w:rPr>
                <w:rFonts w:ascii="仿宋_GB2312" w:hAnsi="仿宋_GB2312" w:cs="仿宋_GB2312" w:eastAsia="仿宋_GB2312"/>
                <w:sz w:val="27"/>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满足项目所需人员要求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本项目服务周期3年，合同一年一签。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在服务周期内，保障客户随时参与省、市、区、街道、社区（村）五级综治视联网视频会议。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进度款，合同履行完毕后，达到付款条件起60个工作日内，支付合同总金额的10.0%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逾期交付产品的（包括返修、更换、补交等），应当自逾期之日起每日按逾期交付部分价款总额的3%向甲方支付违约金。若因乙方原因逾期交货超过10天的，甲方有权解除合同，且乙方应向甲方支付合同总价款30%的违约金。 本合同在履行过程中发生的争议，由甲、乙双方当事人协商解决，协商不成的按下列第（一）种方式解决：（一）提交西安仲裁委员会仲裁；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1.本项目采购包1为非专门面向中小企业采购。 2.本项目属性：服务。 3.本项目采购包1采购标的所属行业为：软件和信息技术服务业。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其他资料.docx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响应文件封面 供应商应提交的相关资格证明材料 其他资料.docx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供应商应提交的相关资格证明材料 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其他资料.docx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其他资料.docx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其他资料.docx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其他资料.docx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提供具有履行合同所必需的设备和专业技术能力的承诺函；未为本项目提供整体设计、规范编制或者项目管理、监理、检测等服务；</w:t>
            </w:r>
          </w:p>
        </w:tc>
        <w:tc>
          <w:tcPr>
            <w:tcW w:type="dxa" w:w="1661"/>
          </w:tcPr>
          <w:p>
            <w:pPr>
              <w:pStyle w:val="null3"/>
            </w:pPr>
            <w:r>
              <w:rPr>
                <w:rFonts w:ascii="仿宋_GB2312" w:hAnsi="仿宋_GB2312" w:cs="仿宋_GB2312" w:eastAsia="仿宋_GB2312"/>
              </w:rPr>
              <w:t>供应商应提交的相关资格证明材料 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供应商应提交的相关资格证明材料 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供应商应提交的相关资格证明材料 其他资料.docx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 其他资料.docx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响应文件构成无重大缺项（详细评审除外），按照磋商文件要求的格式编写响应文件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其他资料.docx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针对本项目提供的整体服务方案内容，包括但不限于：(1)对项目的理解(2)项目整体规划服务方案(3)日常巡检方案(4)运维服务方案(5)培训服务方案； 上述5项方案共计得分15分，每项方案内容为3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项目质量保障措施</w:t>
            </w:r>
          </w:p>
        </w:tc>
        <w:tc>
          <w:tcPr>
            <w:tcW w:type="dxa" w:w="2492"/>
          </w:tcPr>
          <w:p>
            <w:pPr>
              <w:pStyle w:val="null3"/>
            </w:pPr>
            <w:r>
              <w:rPr>
                <w:rFonts w:ascii="仿宋_GB2312" w:hAnsi="仿宋_GB2312" w:cs="仿宋_GB2312" w:eastAsia="仿宋_GB2312"/>
              </w:rPr>
              <w:t>针对本项目提供的整体项目质量保障措施，包括但不限于：(1)质量管理方案(2)质量管理机构及职责(3)质量保证措施； 上述3项方案共计得分9分，每项方案内容为3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针对本项目提供的进度保障措施方案，包括但不限于：(1)进度计划(2)各阶段实施流程(3)进度保障措施； 上述3项方案共计得分9分，每项方案内容为3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应急处置与风险管控方案</w:t>
            </w:r>
          </w:p>
        </w:tc>
        <w:tc>
          <w:tcPr>
            <w:tcW w:type="dxa" w:w="2492"/>
          </w:tcPr>
          <w:p>
            <w:pPr>
              <w:pStyle w:val="null3"/>
            </w:pPr>
            <w:r>
              <w:rPr>
                <w:rFonts w:ascii="仿宋_GB2312" w:hAnsi="仿宋_GB2312" w:cs="仿宋_GB2312" w:eastAsia="仿宋_GB2312"/>
              </w:rPr>
              <w:t>针对本项目提供的应急处置与风险管控方案，包括但不限于：(1)如可能发生的应急事故情况分析(2)应急响应时间(3)各类突发应急处置预案(4)常态化风险巡检防控； 上述4项方案共计得分12分，每项方案内容为3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售后服务保障承诺</w:t>
            </w:r>
          </w:p>
        </w:tc>
        <w:tc>
          <w:tcPr>
            <w:tcW w:type="dxa" w:w="2492"/>
          </w:tcPr>
          <w:p>
            <w:pPr>
              <w:pStyle w:val="null3"/>
            </w:pPr>
            <w:r>
              <w:rPr>
                <w:rFonts w:ascii="仿宋_GB2312" w:hAnsi="仿宋_GB2312" w:cs="仿宋_GB2312" w:eastAsia="仿宋_GB2312"/>
              </w:rPr>
              <w:t>针对本项目提供的售后服务保障承诺方案，包括但不限于：(1)售后服务人员安排(2)定期预防性巡检服务(3)后期技术支撑服务(4)服务响应时间(5)供应商对整体服务质量的承诺； 上述5项方案共计得分15分，每项方案内容为3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针对本项目提供的人员配备方案，包括但不限于：(1)人员数量(2)专业程度(3)相关证书等； 上述3项方案共计得分9分，每项方案内容为3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重难点分析及合理化建议</w:t>
            </w:r>
          </w:p>
        </w:tc>
        <w:tc>
          <w:tcPr>
            <w:tcW w:type="dxa" w:w="2492"/>
          </w:tcPr>
          <w:p>
            <w:pPr>
              <w:pStyle w:val="null3"/>
            </w:pPr>
            <w:r>
              <w:rPr>
                <w:rFonts w:ascii="仿宋_GB2312" w:hAnsi="仿宋_GB2312" w:cs="仿宋_GB2312" w:eastAsia="仿宋_GB2312"/>
              </w:rPr>
              <w:t>针对本项目提供重难点分析及可采纳的合理化建议方案，包括但不限于：(1)项目重难点梳理分析(2)重难点针对性解决措施(3)配套优化合理化建议； 上述3项方案共计得分9分，每项方案内容为3分，每项方案内容每存在1处缺陷，扣1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供应商须提供自2023年1月1日以来类似项目的业绩以合同或中标通知书为准（时间以中标通知书落款时间或合同签订时间为准），每提供一份得6分，满分12分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满足磋商文件要求且最后报价最低的供应商的价格为磋商基准价，其价格分为满分。其他供应商的价格分统一按照下列公式计算：磋商报价得分=（有效最低报价/有效报价×10）的公式计算价格得分。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服务内容及服务要求应答表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