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0DF47">
      <w:pPr>
        <w:jc w:val="both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合同模板，仅供参考</w:t>
      </w:r>
    </w:p>
    <w:p w14:paraId="732AE0FE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lang w:eastAsia="zh-CN"/>
        </w:rPr>
      </w:pPr>
    </w:p>
    <w:p w14:paraId="4CCB52F5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lang w:eastAsia="zh-CN"/>
        </w:rPr>
      </w:pPr>
    </w:p>
    <w:p w14:paraId="57B12C59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lang w:eastAsia="zh-CN"/>
        </w:rPr>
      </w:pPr>
    </w:p>
    <w:p w14:paraId="17F6C750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lang w:eastAsia="zh-CN"/>
        </w:rPr>
        <w:t>区级及横向部门综治视联网平台升级服务项目</w:t>
      </w:r>
    </w:p>
    <w:p w14:paraId="350CCF8C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</w:rPr>
      </w:pPr>
    </w:p>
    <w:p w14:paraId="55B1B538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lang w:val="en-US" w:eastAsia="zh-CN"/>
        </w:rPr>
      </w:pPr>
    </w:p>
    <w:p w14:paraId="5DB58F65">
      <w:pPr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lang w:val="en-US" w:eastAsia="zh-CN"/>
        </w:rPr>
        <w:t>服务合同</w:t>
      </w:r>
    </w:p>
    <w:p w14:paraId="338D4E64"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</w:p>
    <w:p w14:paraId="6C262B5E"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</w:p>
    <w:p w14:paraId="3393723B"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（项目编号：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ZLC-XA-2026007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）</w:t>
      </w:r>
    </w:p>
    <w:p w14:paraId="25934884">
      <w:pPr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1E114592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00A31400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63D185F0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6333AE1B"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5DBE9974"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0B596158"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10FBB520">
      <w:pPr>
        <w:spacing w:line="480" w:lineRule="auto"/>
        <w:ind w:firstLine="321" w:firstLineChars="100"/>
        <w:jc w:val="center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 xml:space="preserve">      甲方：中国共产党西安市阎良区委员会政法委员会</w:t>
      </w:r>
    </w:p>
    <w:p w14:paraId="091FC8D1">
      <w:pPr>
        <w:spacing w:line="480" w:lineRule="auto"/>
        <w:ind w:firstLine="1285" w:firstLineChars="400"/>
        <w:jc w:val="both"/>
        <w:rPr>
          <w:rFonts w:hint="default" w:ascii="仿宋" w:hAnsi="仿宋" w:eastAsia="仿宋" w:cs="仿宋"/>
          <w:b/>
          <w:bCs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乙方：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u w:val="single"/>
          <w:lang w:val="en-US" w:eastAsia="zh-CN"/>
        </w:rPr>
        <w:t xml:space="preserve">                        </w:t>
      </w:r>
    </w:p>
    <w:p w14:paraId="0708458C">
      <w:pPr>
        <w:spacing w:line="480" w:lineRule="auto"/>
        <w:ind w:firstLine="1285" w:firstLineChars="40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签订日期：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br w:type="page"/>
      </w:r>
    </w:p>
    <w:p w14:paraId="1C7FAC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中国共产党西安市阎良区委员会政法委员会</w:t>
      </w:r>
    </w:p>
    <w:p w14:paraId="6F04B7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地址：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西安市阎良区凤凰路街道凤凰东路1号</w:t>
      </w:r>
    </w:p>
    <w:p w14:paraId="797903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联系人：</w:t>
      </w:r>
    </w:p>
    <w:p w14:paraId="182EC1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联系方式：</w:t>
      </w:r>
    </w:p>
    <w:p w14:paraId="4F2BAF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contextualSpacing/>
        <w:textAlignment w:val="auto"/>
        <w:rPr>
          <w:rFonts w:hint="default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乙方：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</w:t>
      </w:r>
    </w:p>
    <w:p w14:paraId="2976FB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地址：</w:t>
      </w:r>
    </w:p>
    <w:p w14:paraId="6AE98F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联系人：</w:t>
      </w:r>
    </w:p>
    <w:p w14:paraId="15ECF2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联系方式：</w:t>
      </w:r>
    </w:p>
    <w:p w14:paraId="3AC4F287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甲乙双方根据《中华人民共和国民法典》及有关法律、法规的相关规定，本着互惠互利的原则，经友好协商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就乙方为甲方提供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区级及横向部门综治视联网平台升级服务项目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相关工作达成一致意见，并签订本协议。</w:t>
      </w:r>
    </w:p>
    <w:p w14:paraId="6700F0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contextualSpacing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第一条 服务期限</w:t>
      </w:r>
    </w:p>
    <w:p w14:paraId="3E831BC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本合同有效期为三年，合同一年一签，首年合同自签订之日起生效，有效期一年。第一年合同期满前，若双方均未提出书面终止通知，则本合同自动顺延一年，顺延次数不超过两次，累计服务期限不超过三年。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其中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设备到货时间为签订合同之日起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日内到达采购人指定地点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并完成安装调试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1E2F86EB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contextualSpacing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服务内容</w:t>
      </w:r>
    </w:p>
    <w:p w14:paraId="0162D85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contextualSpacing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区级综治视联网平台服务，用于满足综治视联网区、街、社区（村）三级自主调度管理及与省市联通，支持会议组织、会议调度、会议保障等多场景应用，包括系统部署、线路及服务保障。拟在一期区级综治视联网项目的基础上进行升级，包括视联网系统平台持续运维、链路与保障，覆盖线路使用费，新增互联网专线、维保及服务保障。</w:t>
      </w:r>
    </w:p>
    <w:p w14:paraId="5BB1111E"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具体服务项目如下表所示。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 xml:space="preserve"> </w:t>
      </w:r>
    </w:p>
    <w:tbl>
      <w:tblPr>
        <w:tblStyle w:val="4"/>
        <w:tblW w:w="83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2588"/>
        <w:gridCol w:w="4670"/>
      </w:tblGrid>
      <w:tr w14:paraId="0500D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0394C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服务清单</w:t>
            </w:r>
          </w:p>
        </w:tc>
      </w:tr>
      <w:tr w14:paraId="056A3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CE3D4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8EA82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服务名称</w:t>
            </w:r>
          </w:p>
        </w:tc>
        <w:tc>
          <w:tcPr>
            <w:tcW w:w="4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3F0DF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类型</w:t>
            </w:r>
          </w:p>
        </w:tc>
      </w:tr>
      <w:tr w14:paraId="1E21B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152E8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706A3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线路服务</w:t>
            </w:r>
          </w:p>
        </w:tc>
        <w:tc>
          <w:tcPr>
            <w:tcW w:w="4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CDB28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数据专线</w:t>
            </w:r>
          </w:p>
        </w:tc>
      </w:tr>
      <w:tr w14:paraId="3663C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2D62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5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DDE0A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BCF3F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互联网专线</w:t>
            </w:r>
          </w:p>
        </w:tc>
      </w:tr>
      <w:tr w14:paraId="13E82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0F0EBF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8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61962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运维服务</w:t>
            </w:r>
          </w:p>
        </w:tc>
        <w:tc>
          <w:tcPr>
            <w:tcW w:w="46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1D676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设备运维</w:t>
            </w:r>
          </w:p>
        </w:tc>
      </w:tr>
      <w:tr w14:paraId="7B552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F899F0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58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1EE04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60E43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平台运维</w:t>
            </w:r>
          </w:p>
        </w:tc>
      </w:tr>
      <w:tr w14:paraId="328BE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7853C7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58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400FF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93F0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软件运维</w:t>
            </w:r>
          </w:p>
        </w:tc>
      </w:tr>
      <w:tr w14:paraId="1ED54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17122D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C07CE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网络服务</w:t>
            </w:r>
          </w:p>
        </w:tc>
        <w:tc>
          <w:tcPr>
            <w:tcW w:w="46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9600B"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ind w:firstLine="499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视联网加密接入网</w:t>
            </w:r>
          </w:p>
        </w:tc>
      </w:tr>
    </w:tbl>
    <w:p w14:paraId="26BB40F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 xml:space="preserve">第三条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要求</w:t>
      </w:r>
    </w:p>
    <w:p w14:paraId="3BF41B1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jc w:val="both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 xml:space="preserve"> 线路资源和运维服务不低于下述标准：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86"/>
        <w:gridCol w:w="5248"/>
        <w:gridCol w:w="696"/>
        <w:gridCol w:w="696"/>
      </w:tblGrid>
      <w:tr w14:paraId="41C63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0" w:type="auto"/>
            <w:gridSpan w:val="5"/>
            <w:noWrap/>
            <w:vAlign w:val="center"/>
          </w:tcPr>
          <w:p w14:paraId="147C18D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采购服务清单</w:t>
            </w:r>
          </w:p>
        </w:tc>
      </w:tr>
      <w:tr w14:paraId="2B90E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0" w:type="auto"/>
            <w:noWrap/>
            <w:vAlign w:val="center"/>
          </w:tcPr>
          <w:p w14:paraId="623EC63D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0" w:type="auto"/>
            <w:noWrap/>
            <w:vAlign w:val="center"/>
          </w:tcPr>
          <w:p w14:paraId="2588A6D6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0" w:type="auto"/>
            <w:noWrap/>
            <w:vAlign w:val="center"/>
          </w:tcPr>
          <w:p w14:paraId="7449B894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服务功能描述</w:t>
            </w:r>
          </w:p>
        </w:tc>
        <w:tc>
          <w:tcPr>
            <w:tcW w:w="0" w:type="auto"/>
            <w:noWrap/>
            <w:vAlign w:val="center"/>
          </w:tcPr>
          <w:p w14:paraId="12647EE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0" w:type="auto"/>
            <w:noWrap/>
            <w:vAlign w:val="center"/>
          </w:tcPr>
          <w:p w14:paraId="7CEB317E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数量</w:t>
            </w:r>
          </w:p>
        </w:tc>
      </w:tr>
      <w:tr w14:paraId="339E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0" w:type="auto"/>
            <w:vMerge w:val="restart"/>
            <w:noWrap/>
            <w:vAlign w:val="center"/>
          </w:tcPr>
          <w:p w14:paraId="79F801E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2700A34A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数据专线</w:t>
            </w:r>
          </w:p>
        </w:tc>
        <w:tc>
          <w:tcPr>
            <w:tcW w:w="0" w:type="auto"/>
            <w:noWrap w:val="0"/>
            <w:vAlign w:val="center"/>
          </w:tcPr>
          <w:p w14:paraId="1ED61FA1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100M数据专线</w:t>
            </w:r>
          </w:p>
        </w:tc>
        <w:tc>
          <w:tcPr>
            <w:tcW w:w="0" w:type="auto"/>
            <w:noWrap w:val="0"/>
            <w:vAlign w:val="center"/>
          </w:tcPr>
          <w:p w14:paraId="718C2C9A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0" w:type="auto"/>
            <w:noWrap w:val="0"/>
            <w:vAlign w:val="center"/>
          </w:tcPr>
          <w:p w14:paraId="7E2FEF1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</w:tr>
      <w:tr w14:paraId="1D34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154C599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1589F4D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互联网专线</w:t>
            </w:r>
          </w:p>
        </w:tc>
        <w:tc>
          <w:tcPr>
            <w:tcW w:w="0" w:type="auto"/>
            <w:noWrap w:val="0"/>
            <w:vAlign w:val="center"/>
          </w:tcPr>
          <w:p w14:paraId="72A83F4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500M互联网专线</w:t>
            </w:r>
          </w:p>
        </w:tc>
        <w:tc>
          <w:tcPr>
            <w:tcW w:w="0" w:type="auto"/>
            <w:noWrap w:val="0"/>
            <w:vAlign w:val="center"/>
          </w:tcPr>
          <w:p w14:paraId="499B59A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0" w:type="auto"/>
            <w:noWrap w:val="0"/>
            <w:vAlign w:val="center"/>
          </w:tcPr>
          <w:p w14:paraId="0F68C35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 w14:paraId="1942B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0" w:type="auto"/>
            <w:vMerge w:val="restart"/>
            <w:noWrap/>
            <w:vAlign w:val="center"/>
          </w:tcPr>
          <w:p w14:paraId="7B8D495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vMerge w:val="restart"/>
            <w:noWrap w:val="0"/>
            <w:vAlign w:val="center"/>
          </w:tcPr>
          <w:p w14:paraId="5FDEA03B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设备运维</w:t>
            </w:r>
          </w:p>
        </w:tc>
        <w:tc>
          <w:tcPr>
            <w:tcW w:w="0" w:type="auto"/>
            <w:noWrap w:val="0"/>
            <w:vAlign w:val="center"/>
          </w:tcPr>
          <w:p w14:paraId="1CD42B2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1、视联网核心系统保障</w:t>
            </w:r>
          </w:p>
        </w:tc>
        <w:tc>
          <w:tcPr>
            <w:tcW w:w="0" w:type="auto"/>
            <w:noWrap w:val="0"/>
            <w:vAlign w:val="center"/>
          </w:tcPr>
          <w:p w14:paraId="34D7381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0" w:type="auto"/>
            <w:noWrap w:val="0"/>
            <w:vAlign w:val="center"/>
          </w:tcPr>
          <w:p w14:paraId="78AE3D4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 w14:paraId="1436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752E983B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3096D7B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1BB0C95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视联网极光5终端保障</w:t>
            </w:r>
          </w:p>
        </w:tc>
        <w:tc>
          <w:tcPr>
            <w:tcW w:w="0" w:type="auto"/>
            <w:noWrap w:val="0"/>
            <w:vAlign w:val="center"/>
          </w:tcPr>
          <w:p w14:paraId="0119F5E8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noWrap w:val="0"/>
            <w:vAlign w:val="center"/>
          </w:tcPr>
          <w:p w14:paraId="7438C4F1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</w:tr>
      <w:tr w14:paraId="30EB2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58B3C806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34D8EBC0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3E995C36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视联网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4k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会议系统保障</w:t>
            </w:r>
          </w:p>
        </w:tc>
        <w:tc>
          <w:tcPr>
            <w:tcW w:w="0" w:type="auto"/>
            <w:noWrap w:val="0"/>
            <w:vAlign w:val="center"/>
          </w:tcPr>
          <w:p w14:paraId="0E44A52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0" w:type="auto"/>
            <w:noWrap w:val="0"/>
            <w:vAlign w:val="center"/>
          </w:tcPr>
          <w:p w14:paraId="4832E26A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 w14:paraId="6A24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2053406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380F8626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67B9580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数据核心交换机保障</w:t>
            </w:r>
          </w:p>
        </w:tc>
        <w:tc>
          <w:tcPr>
            <w:tcW w:w="0" w:type="auto"/>
            <w:noWrap w:val="0"/>
            <w:vAlign w:val="center"/>
          </w:tcPr>
          <w:p w14:paraId="5526926A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0" w:type="auto"/>
            <w:noWrap w:val="0"/>
            <w:vAlign w:val="center"/>
          </w:tcPr>
          <w:p w14:paraId="244D59C3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 w14:paraId="4591D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0FB6343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361D940D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平台运维</w:t>
            </w:r>
          </w:p>
        </w:tc>
        <w:tc>
          <w:tcPr>
            <w:tcW w:w="0" w:type="auto"/>
            <w:noWrap w:val="0"/>
            <w:vAlign w:val="center"/>
          </w:tcPr>
          <w:p w14:paraId="513AD1F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视联网会议感知系统等管理平台的运维</w:t>
            </w:r>
          </w:p>
        </w:tc>
        <w:tc>
          <w:tcPr>
            <w:tcW w:w="0" w:type="auto"/>
            <w:noWrap w:val="0"/>
            <w:vAlign w:val="center"/>
          </w:tcPr>
          <w:p w14:paraId="57C2D1D2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0" w:type="auto"/>
            <w:noWrap w:val="0"/>
            <w:vAlign w:val="center"/>
          </w:tcPr>
          <w:p w14:paraId="1239B8C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 w14:paraId="66BBF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7277B220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34DC6045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软件运维</w:t>
            </w:r>
          </w:p>
        </w:tc>
        <w:tc>
          <w:tcPr>
            <w:tcW w:w="0" w:type="auto"/>
            <w:noWrap w:val="0"/>
            <w:vAlign w:val="center"/>
          </w:tcPr>
          <w:p w14:paraId="53DF227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优化系统功能确保系统软件稳定运行，提供补丁升级、固件升级</w:t>
            </w:r>
          </w:p>
        </w:tc>
        <w:tc>
          <w:tcPr>
            <w:tcW w:w="0" w:type="auto"/>
            <w:noWrap w:val="0"/>
            <w:vAlign w:val="center"/>
          </w:tcPr>
          <w:p w14:paraId="24AA2D2D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0" w:type="auto"/>
            <w:noWrap w:val="0"/>
            <w:vAlign w:val="center"/>
          </w:tcPr>
          <w:p w14:paraId="1D93CC9B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 w14:paraId="7968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0" w:type="auto"/>
            <w:vMerge w:val="restart"/>
            <w:noWrap/>
            <w:vAlign w:val="center"/>
          </w:tcPr>
          <w:p w14:paraId="14F22548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vMerge w:val="restart"/>
            <w:noWrap w:val="0"/>
            <w:vAlign w:val="center"/>
          </w:tcPr>
          <w:p w14:paraId="71949DBE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网络服务</w:t>
            </w:r>
          </w:p>
        </w:tc>
        <w:tc>
          <w:tcPr>
            <w:tcW w:w="0" w:type="auto"/>
            <w:noWrap w:val="0"/>
            <w:vAlign w:val="center"/>
          </w:tcPr>
          <w:p w14:paraId="7EC67AD0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1、100M视联专网</w:t>
            </w:r>
          </w:p>
        </w:tc>
        <w:tc>
          <w:tcPr>
            <w:tcW w:w="0" w:type="auto"/>
            <w:noWrap w:val="0"/>
            <w:vAlign w:val="center"/>
          </w:tcPr>
          <w:p w14:paraId="25BE668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0" w:type="auto"/>
            <w:noWrap w:val="0"/>
            <w:vAlign w:val="center"/>
          </w:tcPr>
          <w:p w14:paraId="73DD13A9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113</w:t>
            </w:r>
          </w:p>
        </w:tc>
      </w:tr>
      <w:tr w14:paraId="1A9F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0" w:type="auto"/>
            <w:vMerge w:val="continue"/>
            <w:noWrap/>
            <w:vAlign w:val="center"/>
          </w:tcPr>
          <w:p w14:paraId="7015B8B7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 w:val="continue"/>
            <w:noWrap w:val="0"/>
            <w:vAlign w:val="center"/>
          </w:tcPr>
          <w:p w14:paraId="59CC94E9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 w14:paraId="7A3FD8A1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2、SD-WAN设备服务</w:t>
            </w:r>
          </w:p>
        </w:tc>
        <w:tc>
          <w:tcPr>
            <w:tcW w:w="0" w:type="auto"/>
            <w:noWrap w:val="0"/>
            <w:vAlign w:val="center"/>
          </w:tcPr>
          <w:p w14:paraId="2CA6F81A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noWrap w:val="0"/>
            <w:vAlign w:val="center"/>
          </w:tcPr>
          <w:p w14:paraId="3877DDCC"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113</w:t>
            </w:r>
          </w:p>
        </w:tc>
      </w:tr>
    </w:tbl>
    <w:p w14:paraId="3304CF2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第四条 服务要求</w:t>
      </w:r>
    </w:p>
    <w:p w14:paraId="0D02869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进一步提升全区综治视联网系统组会承载能力，满足区级及横向部门（区委办、区综治中心）、街道、社区（村）三级综治视联网系统扩容、自主调度、应急指挥，具备视频会议组织服务、会议调度服务、会议保障服务等功能，切实保障中央政法委、省、市、区、街道、社区（村）六级综治视联网系统可自由进行组会，实现全区所辖相关单位机构跨层级、跨区域、跨部门视频通讯调度、业务工作培训、应急指挥保障等目标。</w:t>
      </w:r>
    </w:p>
    <w:p w14:paraId="457EFE5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1.须与阎良区一期综治视联网平台、省市级综治视联网系统实现无缝对接、统一调度、数据互通，确保整体架构兼容稳定。</w:t>
      </w:r>
    </w:p>
    <w:p w14:paraId="54E140C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2.全面提升全区综治视联网系统点位覆盖能力、并发承载能力、应急调度能力，满足区级各横向部门、街道、社区（村）综治视联网系统扩容接入、自主调度、应急指挥、视频会商等业务需求。</w:t>
      </w:r>
    </w:p>
    <w:p w14:paraId="291E22E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3.提供视频会议组织服务、会议调度服务、会议保障服务、日常运维服务，确保中央、省、市、区、街道、社区（村）六级综治视联网系统可随时组会、稳定联通、不掉线、不卡顿。</w:t>
      </w:r>
    </w:p>
    <w:p w14:paraId="63CE40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第五条 服务费用及支付方式</w:t>
      </w:r>
    </w:p>
    <w:p w14:paraId="0E219AD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（一）合同含税总价款暂定为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¥            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大写：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。</w:t>
      </w:r>
    </w:p>
    <w:p w14:paraId="24E55321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4" w:line="440" w:lineRule="atLeast"/>
        <w:ind w:left="5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（二）支付方式：</w:t>
      </w:r>
    </w:p>
    <w:p w14:paraId="7B3964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1、付款条件说明：项目验收合格，一个月内支付服务费（总合同款的9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%）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；</w:t>
      </w:r>
    </w:p>
    <w:p w14:paraId="1021A82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2、付款条件说明：合同尾款（总合同款的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%）在合同履行完毕后两个月内付清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601D76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（三）支付形式：银行转账</w:t>
      </w:r>
    </w:p>
    <w:p w14:paraId="440948E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（四）乙方指定收款信息</w:t>
      </w:r>
    </w:p>
    <w:p w14:paraId="42D256A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名称：</w:t>
      </w:r>
    </w:p>
    <w:p w14:paraId="2D078D2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纳税人识别号：</w:t>
      </w:r>
    </w:p>
    <w:p w14:paraId="41CFF11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地址、电话：</w:t>
      </w:r>
    </w:p>
    <w:p w14:paraId="155545E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开户行：</w:t>
      </w:r>
    </w:p>
    <w:p w14:paraId="12E925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账号：</w:t>
      </w:r>
    </w:p>
    <w:p w14:paraId="7731E71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（五）甲方每次付款前，乙方须提供符合甲方财务部门要求的等额增值税（专用/普通）发票。否则，甲方有权延迟支付服务费用，且甲方延迟支付行为不应视为违约。</w:t>
      </w:r>
    </w:p>
    <w:p w14:paraId="2538A8E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（六）如遇国家政策规定调整本合同中的相应服务费用标准，则届时双方协商按国家规定政策规定执行。</w:t>
      </w:r>
    </w:p>
    <w:p w14:paraId="7E3D45D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第六条 甲方权利与义务</w:t>
      </w:r>
    </w:p>
    <w:p w14:paraId="279608F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pacing w:val="-2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（一）甲方对乙方提供的服务进行</w:t>
      </w:r>
      <w:r>
        <w:rPr>
          <w:rFonts w:hint="eastAsia" w:ascii="仿宋" w:hAnsi="仿宋" w:eastAsia="仿宋" w:cs="仿宋"/>
          <w:color w:val="auto"/>
          <w:spacing w:val="-20"/>
          <w:sz w:val="24"/>
          <w:szCs w:val="24"/>
        </w:rPr>
        <w:t>指导、监督、检查，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对服务效果进行考</w:t>
      </w:r>
      <w:r>
        <w:rPr>
          <w:rFonts w:hint="eastAsia" w:ascii="仿宋" w:hAnsi="仿宋" w:eastAsia="仿宋" w:cs="仿宋"/>
          <w:color w:val="auto"/>
          <w:spacing w:val="-20"/>
          <w:sz w:val="24"/>
          <w:szCs w:val="24"/>
        </w:rPr>
        <w:t>核。</w:t>
      </w:r>
    </w:p>
    <w:p w14:paraId="48527B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（二）甲方对乙方不称职的服务人员提出调换。</w:t>
      </w:r>
    </w:p>
    <w:p w14:paraId="0317CD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（三）甲方对乙方拟定下发的书面文件进行审核。</w:t>
      </w:r>
    </w:p>
    <w:p w14:paraId="18CF629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（四）甲方按合同约定按时向乙方支付应付款项。</w:t>
      </w:r>
    </w:p>
    <w:p w14:paraId="75897C6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第七条 乙方权利与义务</w:t>
      </w:r>
    </w:p>
    <w:p w14:paraId="041F567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（一）乙方应按照合同要求开展相关工作，并接受甲方指导，在服务过程中切实维护甲方合法权益。</w:t>
      </w:r>
    </w:p>
    <w:p w14:paraId="2891983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（二）乙方接受甲方考评。</w:t>
      </w:r>
    </w:p>
    <w:p w14:paraId="760E8C9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（三）乙方每周提交工作周报，在甲方指导下修订并提报相关部门。</w:t>
      </w:r>
    </w:p>
    <w:p w14:paraId="170AD52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（四）乙方应妥善使用甲方配置的办公物资，合同到期后向甲方移交。</w:t>
      </w:r>
    </w:p>
    <w:p w14:paraId="6C0F59F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（五）乙方不得以任何形式将本项目转让、分包给其它单位或个人。</w:t>
      </w:r>
    </w:p>
    <w:p w14:paraId="6719DC1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第八条 不可抗力</w:t>
      </w:r>
    </w:p>
    <w:p w14:paraId="1D8C0A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一）本协议所指的“不可抗力事件”是指本协议签署日期后出现的，妨碍任何一方履行或部分履行本协议的所有事件，而且该事件是本协议各方不能合理地控制、无法预料，或即使可以预料也无法合理避免和克服的事件（包括但不限于政策变更、上级行政管理要求、地震、台风、洪水、火灾、战争、法律变更等）。</w:t>
      </w:r>
    </w:p>
    <w:p w14:paraId="272EF5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二）除非本协议另有规定，如果在本协议签署后发生上述不可抗力事件，且本协议任何一方受其影响不能履行或不能充分、及时、适当地履行其在本协议项下的任何义务时，本协议下另一方的义务在不可抗力引起的延误期内应中止履行，并应自动延长，延长的时间与该中止时间相等，无法或不适宜延长的，双方应终止履行合同，遭受不可抗力事件的一方及其另一方无须因此承担违约责任。</w:t>
      </w:r>
    </w:p>
    <w:p w14:paraId="08BA9A4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第九条 违约责任</w:t>
      </w:r>
    </w:p>
    <w:p w14:paraId="7B1B4F9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乙方逾期交付产品的（包括返修、更换、补交等），应当自逾期之日起每日按逾期交付部分价款总额的3%向甲方支付违约金。若因乙方原因逾期交货超过10天的，甲方有权解除合同，且乙方应向甲方支付合同总价款30%的违约金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。</w:t>
      </w:r>
    </w:p>
    <w:p w14:paraId="29C99E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第十条 争议的解决</w:t>
      </w:r>
    </w:p>
    <w:p w14:paraId="1E00DE8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atLeas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本合同履行过程中发生的一切争议，双方应通过友好协商方式解决，协商不成时，任何一方均可向合同签订地有管辖权的人民法院提起诉讼。</w:t>
      </w:r>
    </w:p>
    <w:p w14:paraId="1037486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napToGrid w:val="0"/>
        <w:spacing w:line="440" w:lineRule="atLeast"/>
        <w:ind w:right="893"/>
        <w:textAlignment w:val="bottom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第十一条 合同生效及其它</w:t>
      </w:r>
    </w:p>
    <w:p w14:paraId="21EDA4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napToGrid w:val="0"/>
        <w:spacing w:line="440" w:lineRule="atLeast"/>
        <w:ind w:right="-110" w:firstLine="480" w:firstLineChars="200"/>
        <w:textAlignment w:val="bottom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（一）合同未尽事宜、由甲、乙双方协商，作为合同补充，与原合同具有同等法律效力。</w:t>
      </w:r>
    </w:p>
    <w:p w14:paraId="487E0821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40" w:lineRule="atLeast"/>
        <w:ind w:right="-69" w:firstLine="480" w:firstLineChars="200"/>
        <w:textAlignment w:val="bottom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（二）合同期限内，若因政策原因需调整相关合同条款事宜，双方另行签订变更协议。</w:t>
      </w:r>
    </w:p>
    <w:p w14:paraId="6993B350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40" w:lineRule="atLeast"/>
        <w:ind w:right="-69" w:firstLine="480" w:firstLineChars="200"/>
        <w:textAlignment w:val="bottom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（三）本合同正本一式陆份，甲方、乙方双方分别执叁份。</w:t>
      </w:r>
    </w:p>
    <w:p w14:paraId="742C1316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40" w:lineRule="atLeast"/>
        <w:ind w:right="-69" w:firstLine="480" w:firstLineChars="200"/>
        <w:textAlignment w:val="bottom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（四）合同经甲乙双方盖章、签字或直接盖章后生效。</w:t>
      </w:r>
    </w:p>
    <w:p w14:paraId="2B43656E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40" w:lineRule="exact"/>
        <w:ind w:right="-68" w:firstLine="480" w:firstLineChars="200"/>
        <w:textAlignment w:val="bottom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（五）签订地点：</w:t>
      </w:r>
    </w:p>
    <w:p w14:paraId="20EDD92D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440" w:lineRule="exact"/>
        <w:ind w:right="-68" w:firstLine="480" w:firstLineChars="200"/>
        <w:textAlignment w:val="bottom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（六）签订时间：</w:t>
      </w:r>
    </w:p>
    <w:p w14:paraId="14AD2983">
      <w:pPr>
        <w:autoSpaceDE w:val="0"/>
        <w:autoSpaceDN w:val="0"/>
        <w:adjustRightInd w:val="0"/>
        <w:spacing w:line="360" w:lineRule="auto"/>
        <w:ind w:firstLine="720" w:firstLineChars="300"/>
        <w:contextualSpacing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8C2D722">
      <w:pPr>
        <w:autoSpaceDE w:val="0"/>
        <w:autoSpaceDN w:val="0"/>
        <w:adjustRightInd w:val="0"/>
        <w:spacing w:line="480" w:lineRule="auto"/>
        <w:ind w:firstLine="720" w:firstLineChars="300"/>
        <w:contextualSpacing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甲方（盖章）                                乙方（盖章）</w:t>
      </w:r>
    </w:p>
    <w:p w14:paraId="2E30ACB6">
      <w:pPr>
        <w:autoSpaceDE w:val="0"/>
        <w:autoSpaceDN w:val="0"/>
        <w:adjustRightInd w:val="0"/>
        <w:spacing w:line="480" w:lineRule="auto"/>
        <w:ind w:firstLine="720" w:firstLineChars="300"/>
        <w:contextualSpacing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代表人                                      代表人</w:t>
      </w:r>
    </w:p>
    <w:p w14:paraId="67084D82">
      <w:pPr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或授权代表人（签字）                        或授权代表人（签字）</w:t>
      </w:r>
    </w:p>
    <w:p w14:paraId="5AF6017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</w:rPr>
        <w:t>合同附件：</w:t>
      </w:r>
    </w:p>
    <w:tbl>
      <w:tblPr>
        <w:tblStyle w:val="4"/>
        <w:tblpPr w:leftFromText="180" w:rightFromText="180" w:vertAnchor="text" w:horzAnchor="page" w:tblpX="1592" w:tblpY="543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2505"/>
        <w:gridCol w:w="2751"/>
        <w:gridCol w:w="2318"/>
      </w:tblGrid>
      <w:tr w14:paraId="44B72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28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5E0FEA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 xml:space="preserve">       政府采购项目货物（服务）验收报告单</w:t>
            </w:r>
          </w:p>
        </w:tc>
      </w:tr>
      <w:tr w14:paraId="6D032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61FB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采购单位</w:t>
            </w:r>
          </w:p>
        </w:tc>
        <w:tc>
          <w:tcPr>
            <w:tcW w:w="7574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848E6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237D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305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采购项目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7C0A292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8350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2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F36B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5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8EB7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BF24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6E53326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¥:</w:t>
            </w:r>
          </w:p>
        </w:tc>
      </w:tr>
      <w:tr w14:paraId="554E6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2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3F322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778DD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34A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验收时间/地点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5F8C49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9672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47AA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服务单位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64AABA6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7E7E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9D79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2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E36C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6102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账号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12781F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6303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2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 w:val="0"/>
            <w:vAlign w:val="center"/>
          </w:tcPr>
          <w:p w14:paraId="45FFCB0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621D5BF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76884CD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电话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center"/>
          </w:tcPr>
          <w:p w14:paraId="40FB990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EBBF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4217" w:type="dxa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42D636AF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 xml:space="preserve"> 供货（服务）单位：（盖章）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2E4C439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 xml:space="preserve">   使用单位验收意见：（盖章）</w:t>
            </w:r>
          </w:p>
          <w:p w14:paraId="4BDAE8D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4E9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2" w:type="dxa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center"/>
          </w:tcPr>
          <w:p w14:paraId="4E1FF0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 xml:space="preserve"> 签字：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7A9A98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101DDDD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签字：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0C2A5EF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08BC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712" w:type="dxa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 w:val="0"/>
            <w:vAlign w:val="center"/>
          </w:tcPr>
          <w:p w14:paraId="75D8F705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250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834287F"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年     月   日</w:t>
            </w:r>
          </w:p>
        </w:tc>
        <w:tc>
          <w:tcPr>
            <w:tcW w:w="275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6E103BF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1F132B68"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年   月   日</w:t>
            </w:r>
          </w:p>
        </w:tc>
      </w:tr>
      <w:tr w14:paraId="648EA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286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6355A81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采购内容</w:t>
            </w:r>
          </w:p>
        </w:tc>
      </w:tr>
      <w:tr w14:paraId="4C396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9286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4D116A4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</w:tbl>
    <w:p w14:paraId="1B92F1F3">
      <w:pPr>
        <w:pStyle w:val="8"/>
        <w:rPr>
          <w:rFonts w:hint="eastAsia" w:ascii="仿宋" w:hAnsi="仿宋" w:eastAsia="仿宋" w:cs="仿宋"/>
          <w:color w:val="auto"/>
          <w:sz w:val="24"/>
          <w:szCs w:val="24"/>
          <w:lang w:val="en-US" w:eastAsia="zh-Hans"/>
        </w:rPr>
      </w:pPr>
    </w:p>
    <w:p w14:paraId="03E5D6FC">
      <w:pPr>
        <w:pStyle w:val="2"/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2"/>
          <w:kern w:val="0"/>
          <w:sz w:val="24"/>
          <w:szCs w:val="24"/>
          <w:lang w:val="en-US" w:eastAsia="zh-CN" w:bidi="ar-SA"/>
        </w:rPr>
      </w:pPr>
    </w:p>
    <w:p w14:paraId="0B30F7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B340A"/>
    <w:multiLevelType w:val="singleLevel"/>
    <w:tmpl w:val="21BB340A"/>
    <w:lvl w:ilvl="0" w:tentative="0">
      <w:start w:val="2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80B24"/>
    <w:rsid w:val="1D880B24"/>
    <w:rsid w:val="6AA74B4A"/>
    <w:rsid w:val="72C8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Normal (Web)"/>
    <w:basedOn w:val="1"/>
    <w:next w:val="2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6">
    <w:name w:val="样式1"/>
    <w:basedOn w:val="1"/>
    <w:qFormat/>
    <w:uiPriority w:val="0"/>
    <w:pPr>
      <w:spacing w:before="62" w:line="220" w:lineRule="auto"/>
      <w:ind w:left="3609"/>
      <w:outlineLvl w:val="2"/>
    </w:pPr>
    <w:rPr>
      <w:rFonts w:ascii="宋体" w:hAnsi="宋体" w:eastAsia="宋体" w:cs="宋体"/>
      <w:snapToGrid w:val="0"/>
      <w:color w:val="000000"/>
      <w:spacing w:val="6"/>
      <w:kern w:val="0"/>
      <w:sz w:val="24"/>
      <w:szCs w:val="31"/>
      <w:lang w:eastAsia="en-US"/>
    </w:rPr>
  </w:style>
  <w:style w:type="paragraph" w:customStyle="1" w:styleId="7">
    <w:name w:val="Heading #3|1"/>
    <w:basedOn w:val="1"/>
    <w:qFormat/>
    <w:uiPriority w:val="0"/>
    <w:pPr>
      <w:spacing w:after="320"/>
      <w:ind w:firstLine="260"/>
      <w:outlineLvl w:val="2"/>
    </w:pPr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463</Words>
  <Characters>477</Characters>
  <Lines>0</Lines>
  <Paragraphs>0</Paragraphs>
  <TotalTime>12</TotalTime>
  <ScaleCrop>false</ScaleCrop>
  <LinksUpToDate>false</LinksUpToDate>
  <CharactersWithSpaces>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2026-06-10T02:33:00Z</dcterms:created>
  <dc:creator>望仔</dc:creator>
  <cp:lastModifiedBy>望仔</cp:lastModifiedBy>
  <dcterms:modified xsi:type="dcterms:W3CDTF">2026-06-11T09:54:31Z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0DEB8F42D2574D82AB647A2DE33D53A0_11</vt:lpwstr>
  </property>
  <property fmtid="{D5CDD505-2E9C-101B-9397-08002B2CF9AE}" pid="4" name="KSOTemplateDocerSaveRecord">
    <vt:lpwstr>eyJoZGlkIjoiMDQ0NDI3NTg4NGQ3ZGE4NDM0OWQ3YzkzMjdmM2UxMTQiLCJ1c2VySWQiOiI1NTUyODEwNDQifQ==</vt:lpwstr>
  </property>
</Properties>
</file>