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版本号：SXHC2026-14720260617001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西安高新区政务新媒体平台运维项目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SXHC2026-147</w:t>
      </w:r>
      <w:r>
        <w:br/>
      </w:r>
      <w:r>
        <w:br/>
      </w:r>
      <w:r>
        <w:br/>
      </w:r>
    </w:p>
    <w:p>
      <w:pPr>
        <w:pStyle w:val="null3"/>
        <w:jc w:val="center"/>
        <w:outlineLvl w:val="2"/>
      </w:pPr>
      <w:r>
        <w:rPr>
          <w:rFonts w:ascii="仿宋_GB2312" w:hAnsi="仿宋_GB2312" w:cs="仿宋_GB2312" w:eastAsia="仿宋_GB2312"/>
          <w:sz w:val="28"/>
          <w:b/>
        </w:rPr>
        <w:t>西安高新技术产业开发区宣传文旅局</w:t>
      </w:r>
    </w:p>
    <w:p>
      <w:pPr>
        <w:pStyle w:val="null3"/>
        <w:jc w:val="center"/>
        <w:outlineLvl w:val="2"/>
      </w:pPr>
      <w:r>
        <w:rPr>
          <w:rFonts w:ascii="仿宋_GB2312" w:hAnsi="仿宋_GB2312" w:cs="仿宋_GB2312" w:eastAsia="仿宋_GB2312"/>
          <w:sz w:val="28"/>
          <w:b/>
        </w:rPr>
        <w:t>陕西华采招标有限公司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陕西华采招标有限公司</w:t>
      </w:r>
      <w:r>
        <w:rPr>
          <w:rFonts w:ascii="仿宋_GB2312" w:hAnsi="仿宋_GB2312" w:cs="仿宋_GB2312" w:eastAsia="仿宋_GB2312"/>
        </w:rPr>
        <w:t>（以下简称“代理机构”）受</w:t>
      </w:r>
      <w:r>
        <w:rPr>
          <w:rFonts w:ascii="仿宋_GB2312" w:hAnsi="仿宋_GB2312" w:cs="仿宋_GB2312" w:eastAsia="仿宋_GB2312"/>
        </w:rPr>
        <w:t>西安高新技术产业开发区宣传文旅局</w:t>
      </w:r>
      <w:r>
        <w:rPr>
          <w:rFonts w:ascii="仿宋_GB2312" w:hAnsi="仿宋_GB2312" w:cs="仿宋_GB2312" w:eastAsia="仿宋_GB2312"/>
        </w:rPr>
        <w:t>委托，拟对</w:t>
      </w:r>
      <w:r>
        <w:rPr>
          <w:rFonts w:ascii="仿宋_GB2312" w:hAnsi="仿宋_GB2312" w:cs="仿宋_GB2312" w:eastAsia="仿宋_GB2312"/>
        </w:rPr>
        <w:t>西安高新区政务新媒体平台运维项目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SXHC2026-147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西安高新区政务新媒体平台运维项目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西安高新区政务新媒体平台运维项目.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采购包1（西安高新区政务新媒体平台运维项目）：属于专门面向中小企业采购。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1、具有独立承担民事责任能力：企业法人应提供合法有效的标识有统一社会信用代码的营业执照；事业法人应提供事业单位法人证书；其他组织应提供合法登记证明文件，自然人提供身份证。</w:t>
      </w:r>
    </w:p>
    <w:p>
      <w:pPr>
        <w:pStyle w:val="null3"/>
      </w:pPr>
      <w:r>
        <w:rPr>
          <w:rFonts w:ascii="仿宋_GB2312" w:hAnsi="仿宋_GB2312" w:cs="仿宋_GB2312" w:eastAsia="仿宋_GB2312"/>
        </w:rPr>
        <w:t>2、法定代表人身份证明或法定代表人授权委托书：法定代表人直接参加投标的，须提供法定代表人身份证明；法定代表人授权代表参加投标的，须提供法定代表人授权委托书。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3、信誉要求：投标人未被列入“失信被执行人”、“重大税收违法失信主体”和“政府采购严重违法失信行为记录名单”。</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西安高新技术产业开发区宣传文旅局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西安高新区成章路丝路创智谷6号楼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710117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029-88333602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陕西华采招标有限公司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西安市高新区锦业路1号绿地领海B座10楼1006室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潘聪、张聪聪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029-68255920-806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西安高新技术产业开发区财政金融局综合监督部</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胥工</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采购包1：4,600,000.00元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收费标准：以中标金额为基数，参考《国家计委关于印发&lt;招标代理服务收费管理暂行办法&gt;的通知》（计价格〔2002〕1980号）及《国家发改委关于降低部分建设项目收费标准规范收费行为等有关问题的通知》（发改价格〔2011〕534号）规定按标准收取。 （2）代理服务费可以采取现金、支票、银行汇票、电汇、网银等方式缴纳 （3）代理服务费缴纳信息如下： 银行户名：陕西华采招标有限公司 开户行名称：招商银行陕西自贸试验区西安高新科技支行 行 号：308791011305 账 号：129905942210666 联 系 人：韩工 联系电话：029-68255920-802</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西安高新技术产业开发区宣传文旅局</w:t>
      </w:r>
      <w:r>
        <w:rPr>
          <w:rFonts w:ascii="仿宋_GB2312" w:hAnsi="仿宋_GB2312" w:cs="仿宋_GB2312" w:eastAsia="仿宋_GB2312"/>
        </w:rPr>
        <w:t>和</w:t>
      </w:r>
      <w:r>
        <w:rPr>
          <w:rFonts w:ascii="仿宋_GB2312" w:hAnsi="仿宋_GB2312" w:cs="仿宋_GB2312" w:eastAsia="仿宋_GB2312"/>
        </w:rPr>
        <w:t>陕西华采招标有限公司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西安高新技术产业开发区宣传文旅局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陕西华采招标有限公司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西安高新技术产业开发区宣传文旅局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陕西华采招标有限公司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联系人：党娜</w:t>
      </w:r>
    </w:p>
    <w:p>
      <w:pPr>
        <w:pStyle w:val="null3"/>
      </w:pPr>
      <w:r>
        <w:rPr>
          <w:rFonts w:ascii="仿宋_GB2312" w:hAnsi="仿宋_GB2312" w:cs="仿宋_GB2312" w:eastAsia="仿宋_GB2312"/>
        </w:rPr>
        <w:t>联系电话：029-68255920转806</w:t>
      </w:r>
    </w:p>
    <w:p>
      <w:pPr>
        <w:pStyle w:val="null3"/>
      </w:pPr>
      <w:r>
        <w:rPr>
          <w:rFonts w:ascii="仿宋_GB2312" w:hAnsi="仿宋_GB2312" w:cs="仿宋_GB2312" w:eastAsia="仿宋_GB2312"/>
        </w:rPr>
        <w:t>地址：西安高新区锦业路1号绿地领海大厦B座10楼1006室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西安高新区政务新媒体平台运维项目。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4,600,000.00</w:t>
      </w:r>
    </w:p>
    <w:p>
      <w:pPr>
        <w:pStyle w:val="null3"/>
      </w:pPr>
      <w:r>
        <w:rPr>
          <w:rFonts w:ascii="仿宋_GB2312" w:hAnsi="仿宋_GB2312" w:cs="仿宋_GB2312" w:eastAsia="仿宋_GB2312"/>
        </w:rPr>
        <w:t>采购包最高限价（元）: 4,600,000.00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西安高新区政务新媒体平台运维项目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4,600,000.00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标的名称：西安高新区政务新媒体平台运维项目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2"/>
            </w:pPr>
            <w:r>
              <w:rPr>
                <w:rFonts w:ascii="仿宋_GB2312" w:hAnsi="仿宋_GB2312" w:cs="仿宋_GB2312" w:eastAsia="仿宋_GB2312"/>
                <w:b/>
              </w:rPr>
              <w:t>一、项目名称</w:t>
            </w:r>
          </w:p>
          <w:p>
            <w:pPr>
              <w:pStyle w:val="null3"/>
              <w:ind w:firstLine="400"/>
            </w:pPr>
            <w:r>
              <w:rPr>
                <w:rFonts w:ascii="仿宋_GB2312" w:hAnsi="仿宋_GB2312" w:cs="仿宋_GB2312" w:eastAsia="仿宋_GB2312"/>
              </w:rPr>
              <w:t>西安高新区政务新媒体平台运维项目。</w:t>
            </w:r>
          </w:p>
          <w:p>
            <w:pPr>
              <w:pStyle w:val="null3"/>
              <w:ind w:firstLine="400"/>
            </w:pPr>
            <w:r>
              <w:rPr>
                <w:rFonts w:ascii="仿宋_GB2312" w:hAnsi="仿宋_GB2312" w:cs="仿宋_GB2312" w:eastAsia="仿宋_GB2312"/>
                <w:b/>
              </w:rPr>
              <w:t>二、服务内容</w:t>
            </w:r>
          </w:p>
          <w:p>
            <w:pPr>
              <w:pStyle w:val="null3"/>
              <w:ind w:firstLine="400"/>
            </w:pPr>
            <w:r>
              <w:rPr>
                <w:rFonts w:ascii="仿宋_GB2312" w:hAnsi="仿宋_GB2312" w:cs="仿宋_GB2312" w:eastAsia="仿宋_GB2312"/>
              </w:rPr>
              <w:t>原创稿件策划采编、原创视频拍摄制作、政务新媒体平台运维、设计制作印刷出版发行工作。</w:t>
            </w:r>
          </w:p>
          <w:p>
            <w:pPr>
              <w:pStyle w:val="null3"/>
              <w:ind w:firstLine="400"/>
            </w:pPr>
            <w:r>
              <w:rPr>
                <w:rFonts w:ascii="仿宋_GB2312" w:hAnsi="仿宋_GB2312" w:cs="仿宋_GB2312" w:eastAsia="仿宋_GB2312"/>
                <w:b/>
              </w:rPr>
              <w:t>三、具体技术服务要求</w:t>
            </w:r>
          </w:p>
          <w:p>
            <w:pPr>
              <w:pStyle w:val="null3"/>
              <w:ind w:firstLine="400"/>
            </w:pPr>
            <w:r>
              <w:rPr>
                <w:rFonts w:ascii="仿宋_GB2312" w:hAnsi="仿宋_GB2312" w:cs="仿宋_GB2312" w:eastAsia="仿宋_GB2312"/>
                <w:b/>
              </w:rPr>
              <w:t>（一）采编创作工作</w:t>
            </w:r>
          </w:p>
          <w:p>
            <w:pPr>
              <w:pStyle w:val="null3"/>
              <w:ind w:firstLine="400"/>
            </w:pPr>
            <w:r>
              <w:rPr>
                <w:rFonts w:ascii="仿宋_GB2312" w:hAnsi="仿宋_GB2312" w:cs="仿宋_GB2312" w:eastAsia="仿宋_GB2312"/>
              </w:rPr>
              <w:t>1、依托自身媒体专业优势，主动对接辖区街道、职能部门及产业园区，精准对接宣传诉求，深度挖掘基层特色亮点与工作成效，统筹做好内容原创、新闻采编、选题策划及宣传发布等各项工作。</w:t>
            </w:r>
          </w:p>
          <w:p>
            <w:pPr>
              <w:pStyle w:val="null3"/>
              <w:ind w:firstLine="400"/>
            </w:pPr>
            <w:r>
              <w:rPr>
                <w:rFonts w:ascii="仿宋_GB2312" w:hAnsi="仿宋_GB2312" w:cs="仿宋_GB2312" w:eastAsia="仿宋_GB2312"/>
              </w:rPr>
              <w:t>2、紧盯高新区重点工作动态，全方位宣传区域发展亮点与工作成果。围绕重大部署、重点项目及特色工作，定制专题策划、打造特色专栏，强化区域品牌宣传塑造，搭建政民沟通桥梁，营造良好舆论氛围。</w:t>
            </w:r>
          </w:p>
          <w:p>
            <w:pPr>
              <w:pStyle w:val="null3"/>
              <w:ind w:firstLine="400"/>
            </w:pPr>
            <w:r>
              <w:rPr>
                <w:rFonts w:ascii="仿宋_GB2312" w:hAnsi="仿宋_GB2312" w:cs="仿宋_GB2312" w:eastAsia="仿宋_GB2312"/>
              </w:rPr>
              <w:t>3、 贴合新媒体传播规律，一体化完成原创图文策划撰写、短视频拍摄制作、政务新媒体日常运营，以及视觉设计、物料印制、出版发行等配套服务。</w:t>
            </w:r>
          </w:p>
          <w:p>
            <w:pPr>
              <w:pStyle w:val="null3"/>
              <w:ind w:firstLine="400"/>
            </w:pPr>
            <w:r>
              <w:rPr>
                <w:rFonts w:ascii="仿宋_GB2312" w:hAnsi="仿宋_GB2312" w:cs="仿宋_GB2312" w:eastAsia="仿宋_GB2312"/>
              </w:rPr>
              <w:t>4、按需为中央、省、市各级媒体提供优质图文、视频素材及各类宣传资料，同步做好素材整理、分类归档与资料留存管理。</w:t>
            </w:r>
          </w:p>
          <w:p>
            <w:pPr>
              <w:pStyle w:val="null3"/>
              <w:ind w:firstLine="400"/>
            </w:pPr>
            <w:r>
              <w:rPr>
                <w:rFonts w:ascii="仿宋_GB2312" w:hAnsi="仿宋_GB2312" w:cs="仿宋_GB2312" w:eastAsia="仿宋_GB2312"/>
              </w:rPr>
              <w:t>5、 整合各类宣传资源，打通多元传播渠道，实现多形式、全方位宣传布局，搭建一体化高新区全媒体宣传矩阵。</w:t>
            </w:r>
          </w:p>
          <w:p>
            <w:pPr>
              <w:pStyle w:val="null3"/>
              <w:ind w:firstLine="402"/>
            </w:pPr>
            <w:r>
              <w:rPr>
                <w:rFonts w:ascii="仿宋_GB2312" w:hAnsi="仿宋_GB2312" w:cs="仿宋_GB2312" w:eastAsia="仿宋_GB2312"/>
                <w:b/>
              </w:rPr>
              <w:t>（二）内容发布规范</w:t>
            </w:r>
          </w:p>
          <w:p>
            <w:pPr>
              <w:pStyle w:val="null3"/>
              <w:ind w:firstLine="400"/>
            </w:pPr>
            <w:r>
              <w:rPr>
                <w:rFonts w:ascii="仿宋_GB2312" w:hAnsi="仿宋_GB2312" w:cs="仿宋_GB2312" w:eastAsia="仿宋_GB2312"/>
              </w:rPr>
              <w:t>1、日常内容常态化更新，全平台每日发布内容不少于3条（含原创及合规转发内容）。</w:t>
            </w:r>
          </w:p>
          <w:p>
            <w:pPr>
              <w:pStyle w:val="null3"/>
              <w:ind w:firstLine="400"/>
            </w:pPr>
            <w:r>
              <w:rPr>
                <w:rFonts w:ascii="仿宋_GB2312" w:hAnsi="仿宋_GB2312" w:cs="仿宋_GB2312" w:eastAsia="仿宋_GB2312"/>
              </w:rPr>
              <w:t>2、强化精品内容打造，每月完成优质专题策划内容不少于8期。</w:t>
            </w:r>
          </w:p>
          <w:p>
            <w:pPr>
              <w:pStyle w:val="null3"/>
              <w:ind w:firstLine="400"/>
            </w:pPr>
            <w:r>
              <w:rPr>
                <w:rFonts w:ascii="仿宋_GB2312" w:hAnsi="仿宋_GB2312" w:cs="仿宋_GB2312" w:eastAsia="仿宋_GB2312"/>
              </w:rPr>
              <w:t>3、加大短视频内容产出，每月原创及各类短视频发布量不少于50条。</w:t>
            </w:r>
          </w:p>
          <w:p>
            <w:pPr>
              <w:pStyle w:val="null3"/>
              <w:ind w:firstLine="400"/>
            </w:pPr>
            <w:r>
              <w:rPr>
                <w:rFonts w:ascii="仿宋_GB2312" w:hAnsi="仿宋_GB2312" w:cs="仿宋_GB2312" w:eastAsia="仿宋_GB2312"/>
                <w:b/>
              </w:rPr>
              <w:t>（三）综合保障要求</w:t>
            </w:r>
          </w:p>
          <w:p>
            <w:pPr>
              <w:pStyle w:val="null3"/>
              <w:ind w:firstLine="400"/>
            </w:pPr>
            <w:r>
              <w:rPr>
                <w:rFonts w:ascii="仿宋_GB2312" w:hAnsi="仿宋_GB2312" w:cs="仿宋_GB2312" w:eastAsia="仿宋_GB2312"/>
              </w:rPr>
              <w:t>1、配备专属专业采编与设计服务团队，满足政务宣传常态化采编需求。要求拥有媒体从业经验的专职采编人员20名及以上，具备专业摄影、实地采访、文案撰写综合能力。</w:t>
            </w:r>
          </w:p>
          <w:p>
            <w:pPr>
              <w:pStyle w:val="null3"/>
              <w:ind w:firstLine="400"/>
            </w:pPr>
            <w:r>
              <w:rPr>
                <w:rFonts w:ascii="仿宋_GB2312" w:hAnsi="仿宋_GB2312" w:cs="仿宋_GB2312" w:eastAsia="仿宋_GB2312"/>
              </w:rPr>
              <w:t>2、负责高新区官方账号运营，涵盖微信公众号、抖音、视频号、今日头条、央视频、百家号等新媒体平台，统筹做好平台优化、资质认证、续约维护、固定栏目搭建等日常工作。</w:t>
            </w:r>
          </w:p>
          <w:p>
            <w:pPr>
              <w:pStyle w:val="null3"/>
              <w:ind w:firstLine="400"/>
            </w:pPr>
            <w:r>
              <w:rPr>
                <w:rFonts w:ascii="仿宋_GB2312" w:hAnsi="仿宋_GB2312" w:cs="仿宋_GB2312" w:eastAsia="仿宋_GB2312"/>
                <w:b/>
              </w:rPr>
              <w:t>四、商务要求</w:t>
            </w:r>
          </w:p>
          <w:p>
            <w:pPr>
              <w:pStyle w:val="null3"/>
              <w:ind w:firstLine="400"/>
            </w:pPr>
            <w:r>
              <w:rPr>
                <w:rFonts w:ascii="仿宋_GB2312" w:hAnsi="仿宋_GB2312" w:cs="仿宋_GB2312" w:eastAsia="仿宋_GB2312"/>
              </w:rPr>
              <w:t>（一）服务期：自合同签订之日起1年。</w:t>
            </w:r>
          </w:p>
          <w:p>
            <w:pPr>
              <w:pStyle w:val="null3"/>
            </w:pPr>
            <w:r>
              <w:rPr>
                <w:rFonts w:ascii="仿宋_GB2312" w:hAnsi="仿宋_GB2312" w:cs="仿宋_GB2312" w:eastAsia="仿宋_GB2312"/>
              </w:rPr>
              <w:t xml:space="preserve">  （二）服务地点：西安市范围内，具体以采购人指定地点为准。</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西安市范围内，具体以采购人指定地点为准。</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预付款，本合同签订后，达到付款条件起15个工作日内，支付合同总金额的40.0%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进度款，在合同履行3个月后，达到付款条件起15个工作日内，支付合同总金额的30.0%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进度款，在乙方合同全部履行完毕，并经甲方书面验收合格后，达到付款条件起15个工作日内，支付合同总金额的30.0%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按照招标文件要求及合同约定执行。</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所属行业为：其他未列明行业（根据《中小企业划型标准规定》（工信部联企业〔2011〕300号），其他未列明行业划分标准为“从业人员300人以下的为中小微型企业。其中，从业人员100人及以上的为中型企业；从业人员10人及以上的为小型企业；从业人员10人以下的为微型企业”）。（2）因系统格式设置无法调整，合同付款支付要求以第七章“拟签订采购合同文本”中体现的内容为准。（3）中标人在领取中标通知书前，须向采购代理机构提供纸质版投标文件3套（一正两副），且提供的投标文件必须与在陕西省政府采购综合管理平台的项目电子化交易系统中递交的电子投标文件内容一致，纸质版投标文件必须装订成册签字盖章。（4）如招标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投标人需在项目电子化交易系统中按要求上传基本资格条件承诺函并进行电子签章。</w:t>
            </w:r>
          </w:p>
        </w:tc>
        <w:tc>
          <w:tcPr>
            <w:tcW w:type="dxa" w:w="1661"/>
          </w:tcPr>
          <w:p>
            <w:pPr>
              <w:pStyle w:val="null3"/>
            </w:pPr>
            <w:r>
              <w:rPr>
                <w:rFonts w:ascii="仿宋_GB2312" w:hAnsi="仿宋_GB2312" w:cs="仿宋_GB2312" w:eastAsia="仿宋_GB2312"/>
              </w:rPr>
              <w:t>基本资格条件承诺函.docx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企业法人应提供合法有效的标识有统一社会信用代码的营业执照；事业法人应提供事业单位法人证书；其他组织应提供合法登记证明文件，自然人提供身份证。</w:t>
            </w:r>
          </w:p>
        </w:tc>
        <w:tc>
          <w:tcPr>
            <w:tcW w:type="dxa" w:w="1661"/>
          </w:tcPr>
          <w:p>
            <w:pPr>
              <w:pStyle w:val="null3"/>
            </w:pPr>
            <w:r>
              <w:rPr>
                <w:rFonts w:ascii="仿宋_GB2312" w:hAnsi="仿宋_GB2312" w:cs="仿宋_GB2312" w:eastAsia="仿宋_GB2312"/>
              </w:rPr>
              <w:t>具有独立承担民事责任能力.docx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法定代表人身份证明或法定代表人授权委托书.docx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投标人未被列入“失信被执行人”、“重大税收违法失信主体”和“政府采购严重违法失信行为记录名单”。</w:t>
            </w:r>
          </w:p>
        </w:tc>
        <w:tc>
          <w:tcPr>
            <w:tcW w:type="dxa" w:w="1661"/>
          </w:tcPr>
          <w:p>
            <w:pPr>
              <w:pStyle w:val="null3"/>
            </w:pPr>
            <w:r>
              <w:rPr>
                <w:rFonts w:ascii="仿宋_GB2312" w:hAnsi="仿宋_GB2312" w:cs="仿宋_GB2312" w:eastAsia="仿宋_GB2312"/>
              </w:rPr>
              <w:t>信誉要求.docx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与所投项目名称、项目编号一致，符合招标文件签署盖章要求。</w:t>
            </w:r>
          </w:p>
        </w:tc>
        <w:tc>
          <w:tcPr>
            <w:tcW w:type="dxa" w:w="1661"/>
          </w:tcPr>
          <w:p>
            <w:pPr>
              <w:pStyle w:val="null3"/>
            </w:pPr>
            <w:r>
              <w:rPr>
                <w:rFonts w:ascii="仿宋_GB2312" w:hAnsi="仿宋_GB2312" w:cs="仿宋_GB2312" w:eastAsia="仿宋_GB2312"/>
              </w:rPr>
              <w:t>投标文件封面.docx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（1）投标报价唯一； （2）报价货币符合招标文件要求； （3）未超出采购预算或招标文件规定的最高限价。</w:t>
            </w:r>
          </w:p>
        </w:tc>
        <w:tc>
          <w:tcPr>
            <w:tcW w:type="dxa" w:w="1661"/>
          </w:tcPr>
          <w:p>
            <w:pPr>
              <w:pStyle w:val="null3"/>
            </w:pPr>
            <w:r>
              <w:rPr>
                <w:rFonts w:ascii="仿宋_GB2312" w:hAnsi="仿宋_GB2312" w:cs="仿宋_GB2312" w:eastAsia="仿宋_GB2312"/>
              </w:rPr>
              <w:t>开标一览表 费用组成明细表.docx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自提交投标文件的截止之日起不少于90个日历日。</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响应招标文件合同条款未出现负偏离且响应的内容中未附有采购人不能接受的附加条件。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内容至少包括①原创稿件策划采编服务方案；②原创视频拍摄制作服务方案；③政务新媒体平台运维服务方案；④设计制作印刷出版发行服务方案等。 评审标准：服务方案各部分内容全面详细、阐述条理清晰详尽、符合本项目采购需求得12分，每缺一项内容扣3分，评审内容有瑕疵的根据情况扣分，扣完为止。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内容至少包括①项目进度、质量及安全保障措施；②成果保障及风险管理措施等。 评审标准：服务保障措施各部分内容全面详细、阐述条理清晰详尽、符合本项目采购需求得4分，每缺一项内容扣2分，评审内容有瑕疵的根据情况扣分，扣完为止。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内容至少包括①档案管理制度；②保密制度（保密手段、人员保密管理、保密承诺等）等。 评审标准：管理制度各部分内容全面详细、阐述条理清晰详尽、符合本项目采购需求得4分，每缺一项内容扣2分，评审内容有瑕疵的根据情况扣分，扣完为止。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拟投入人员配备方案</w:t>
            </w:r>
          </w:p>
        </w:tc>
        <w:tc>
          <w:tcPr>
            <w:tcW w:type="dxa" w:w="2492"/>
          </w:tcPr>
          <w:p>
            <w:pPr>
              <w:pStyle w:val="null3"/>
            </w:pPr>
            <w:r>
              <w:rPr>
                <w:rFonts w:ascii="仿宋_GB2312" w:hAnsi="仿宋_GB2312" w:cs="仿宋_GB2312" w:eastAsia="仿宋_GB2312"/>
              </w:rPr>
              <w:t>内容至少包括①项目组织机构；②团队人员配置清单；③各专业岗位职责安排；④团队管理制度（人员管理、任务委派、培训制度、奖惩制度等）。 评审标准：拟投入人员配备方案各部分内容全面详细、阐述条理清晰详尽、符合本项目采购需求得16分，每缺一项内容扣4分，评审内容有瑕疵的根据情况扣分，扣完为止。 备注：评审内容“瑕疵”是指：内容粗略、逻辑混乱、描述过于简单、与项目特点不匹配、逻辑漏洞、出现常识性错误、存在不适用项目实际情况的情形或只有标题没有实质性内容等。 注：以上项目配备人员需为本单位人员，需提供开标前6个月任意时间段缴纳社保的证明材料或退休证明及返聘协议，未提供不得分。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拟投入仪器设备配备方案</w:t>
            </w:r>
          </w:p>
        </w:tc>
        <w:tc>
          <w:tcPr>
            <w:tcW w:type="dxa" w:w="2492"/>
          </w:tcPr>
          <w:p>
            <w:pPr>
              <w:pStyle w:val="null3"/>
            </w:pPr>
            <w:r>
              <w:rPr>
                <w:rFonts w:ascii="仿宋_GB2312" w:hAnsi="仿宋_GB2312" w:cs="仿宋_GB2312" w:eastAsia="仿宋_GB2312"/>
              </w:rPr>
              <w:t>内容至少包括①设备清单（名称、数量、规格型号技术参数、性能及用途等）；②设备来源渠道证明（购买或租赁）。 评审标准：拟投入仪器设备配备方案各部分内容全面详细、阐述条理清晰详尽、符合本项目采购需求得4分，每缺一项内容扣2分，评审内容有瑕疵的根据情况扣分，扣完为止。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（1）具有本科及以上学历得4分，专科学历得2分； （2）有丰富的相关领域工作经验和曾担任过同类项目（提供证明材料，证明材料需体现项目负责人姓名），每提供一个计2分，满分6分。 注：项目负责人需为本单位人员，项目负责人需提供相关证书、开标前6个月任意时间段缴纳社保的证明材料或退休证明及返聘协议，未提供不得分。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服务承诺及合理化建议</w:t>
            </w:r>
          </w:p>
        </w:tc>
        <w:tc>
          <w:tcPr>
            <w:tcW w:type="dxa" w:w="2492"/>
          </w:tcPr>
          <w:p>
            <w:pPr>
              <w:pStyle w:val="null3"/>
            </w:pPr>
            <w:r>
              <w:rPr>
                <w:rFonts w:ascii="仿宋_GB2312" w:hAnsi="仿宋_GB2312" w:cs="仿宋_GB2312" w:eastAsia="仿宋_GB2312"/>
              </w:rPr>
              <w:t>（1）为更好的服务于本项目及采购人，投标人对项目提出相应的服务承诺（包含针对本包的各项服务质量目标、服务期、保障措施及服务人员入场计划），每提供一项得1分，最高得4分，未提供不得分。 （2）为更好的服务于本项目，投标人对项目提出合理化建议，每提供一条得1分，最高得4分，未提供不得分。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投标人提供2023年05月01日至今（以合同签订时间为准）的同类项目业绩，每提供一份得2分，满分22分。 注：投标文件中提供合同复印件加盖投标人公章。</w:t>
            </w:r>
          </w:p>
        </w:tc>
        <w:tc>
          <w:tcPr>
            <w:tcW w:type="dxa" w:w="831"/>
          </w:tcPr>
          <w:p>
            <w:pPr>
              <w:pStyle w:val="null3"/>
              <w:jc w:val="right"/>
            </w:pPr>
            <w:r>
              <w:rPr>
                <w:rFonts w:ascii="仿宋_GB2312" w:hAnsi="仿宋_GB2312" w:cs="仿宋_GB2312" w:eastAsia="仿宋_GB2312"/>
              </w:rPr>
              <w:t>22.0000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业绩的有关证明材料.docx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满足招标文件内容及技术要求且投标报价最低的投标价为评标基准价，其价格分为满分。 投标报价得分=（评标基准价／投标报价）×价格权值×100。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费用组成明细表.docx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详见附件：投标文件封面.docx</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详见附件：费用组成明细表.docx</w:t>
      </w:r>
    </w:p>
    <w:p>
      <w:pPr>
        <w:pStyle w:val="null3"/>
        <w:ind w:firstLine="960"/>
      </w:pPr>
      <w:r>
        <w:rPr>
          <w:rFonts w:ascii="仿宋_GB2312" w:hAnsi="仿宋_GB2312" w:cs="仿宋_GB2312" w:eastAsia="仿宋_GB2312"/>
        </w:rPr>
        <w:t>详见附件：基本资格条件承诺函.docx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详见附件：具有独立承担民事责任能力.docx</w:t>
      </w:r>
    </w:p>
    <w:p>
      <w:pPr>
        <w:pStyle w:val="null3"/>
        <w:ind w:firstLine="960"/>
      </w:pPr>
      <w:r>
        <w:rPr>
          <w:rFonts w:ascii="仿宋_GB2312" w:hAnsi="仿宋_GB2312" w:cs="仿宋_GB2312" w:eastAsia="仿宋_GB2312"/>
        </w:rPr>
        <w:t>详见附件：法定代表人身份证明或法定代表人授权委托书.docx</w:t>
      </w:r>
    </w:p>
    <w:p>
      <w:pPr>
        <w:pStyle w:val="null3"/>
        <w:ind w:firstLine="960"/>
      </w:pPr>
      <w:r>
        <w:rPr>
          <w:rFonts w:ascii="仿宋_GB2312" w:hAnsi="仿宋_GB2312" w:cs="仿宋_GB2312" w:eastAsia="仿宋_GB2312"/>
        </w:rPr>
        <w:t>详见附件：信誉要求.docx</w:t>
      </w:r>
    </w:p>
    <w:p>
      <w:pPr>
        <w:pStyle w:val="null3"/>
        <w:ind w:firstLine="960"/>
      </w:pPr>
      <w:r>
        <w:rPr>
          <w:rFonts w:ascii="仿宋_GB2312" w:hAnsi="仿宋_GB2312" w:cs="仿宋_GB2312" w:eastAsia="仿宋_GB2312"/>
        </w:rPr>
        <w:t>详见附件：合同条款响应偏离表.docx</w:t>
      </w:r>
    </w:p>
    <w:p>
      <w:pPr>
        <w:pStyle w:val="null3"/>
        <w:ind w:firstLine="960"/>
      </w:pPr>
      <w:r>
        <w:rPr>
          <w:rFonts w:ascii="仿宋_GB2312" w:hAnsi="仿宋_GB2312" w:cs="仿宋_GB2312" w:eastAsia="仿宋_GB2312"/>
        </w:rPr>
        <w:t>详见附件：服务方案响应说明.docx</w:t>
      </w:r>
    </w:p>
    <w:p>
      <w:pPr>
        <w:pStyle w:val="null3"/>
        <w:ind w:firstLine="960"/>
      </w:pPr>
      <w:r>
        <w:rPr>
          <w:rFonts w:ascii="仿宋_GB2312" w:hAnsi="仿宋_GB2312" w:cs="仿宋_GB2312" w:eastAsia="仿宋_GB2312"/>
        </w:rPr>
        <w:t>详见附件：业绩的有关证明材料.docx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