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具有独立承担民事责任能力</w:t>
      </w:r>
    </w:p>
    <w:p w14:paraId="0289BD7F">
      <w:pPr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354CA7B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企业法人应提供合法有效的标识有统一社会信用代码的营业执照；事业法人提供事业单位法人证书；其他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组织提供合法登记证明文件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</w:rPr>
        <w:t>自然人提供身份证。</w:t>
      </w:r>
    </w:p>
    <w:p w14:paraId="1583915A">
      <w:pPr>
        <w:ind w:firstLine="560" w:firstLineChars="200"/>
        <w:jc w:val="center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若是分支机构参与投标，须提供总公司和分支机构的营业执照。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（以上内容投标文件中提供复印件或扫描件并进行电子签章）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0BBD01A2"/>
    <w:rsid w:val="49F72CE2"/>
    <w:rsid w:val="5842572D"/>
    <w:rsid w:val="63021763"/>
    <w:rsid w:val="636135E3"/>
    <w:rsid w:val="6F3225A4"/>
    <w:rsid w:val="711B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135</Characters>
  <Lines>0</Lines>
  <Paragraphs>0</Paragraphs>
  <TotalTime>0</TotalTime>
  <ScaleCrop>false</ScaleCrop>
  <LinksUpToDate>false</LinksUpToDate>
  <CharactersWithSpaces>135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2026-03-31T03:04:37Z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