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6ABD18">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eastAsia" w:ascii="仿宋_GB2312" w:hAnsi="仿宋" w:eastAsia="仿宋_GB2312"/>
          <w:bCs/>
          <w:sz w:val="44"/>
          <w:szCs w:val="44"/>
          <w:highlight w:val="none"/>
        </w:rPr>
      </w:pPr>
      <w:r>
        <w:rPr>
          <w:rFonts w:hint="eastAsia" w:ascii="仿宋_GB2312" w:hAnsi="仿宋" w:eastAsia="仿宋_GB2312"/>
          <w:b/>
          <w:bCs w:val="0"/>
          <w:sz w:val="44"/>
          <w:szCs w:val="44"/>
          <w:highlight w:val="none"/>
        </w:rPr>
        <w:t>拟签订采购合同文本</w:t>
      </w:r>
    </w:p>
    <w:p w14:paraId="6A149FF0">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甲方（采购人）： </w:t>
      </w:r>
    </w:p>
    <w:p w14:paraId="2411B517">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乙方（中标人）： </w:t>
      </w:r>
    </w:p>
    <w:p w14:paraId="2F423BA1">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u w:val="single"/>
          <w:lang w:val="en-US" w:eastAsia="zh-CN"/>
        </w:rPr>
        <w:t>西安高新区政务新媒体平台运维项目(项目编号：SXHC2026-147)</w:t>
      </w:r>
      <w:r>
        <w:rPr>
          <w:rFonts w:hint="eastAsia" w:ascii="仿宋_GB2312" w:hAnsi="仿宋_GB2312" w:eastAsia="仿宋_GB2312" w:cs="仿宋_GB2312"/>
          <w:color w:val="auto"/>
          <w:sz w:val="28"/>
          <w:szCs w:val="28"/>
          <w:highlight w:val="none"/>
          <w:lang w:val="en-US" w:eastAsia="zh-CN"/>
        </w:rPr>
        <w:t>，由陕西华采招标有限公司组织公开招标，</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lang w:val="en-US" w:eastAsia="zh-CN"/>
        </w:rPr>
        <w:t>(以下简称“甲方”)确定</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lang w:val="en-US" w:eastAsia="zh-CN"/>
        </w:rPr>
        <w:t>（以下简称“乙方”）为该项目的中标人。</w:t>
      </w:r>
    </w:p>
    <w:p w14:paraId="4FA0713D">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依据《中华人民共和国民法典》和《中华人民共和国政府采购法》之规定，经双方在平等、自愿、互利的基础上，签订本合同，共同信守。</w:t>
      </w:r>
    </w:p>
    <w:p w14:paraId="0AD847DC">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一、合同价款</w:t>
      </w:r>
    </w:p>
    <w:p w14:paraId="63524C46">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（一）合同价款为人民币（大写）</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lang w:val="en-US" w:eastAsia="zh-CN"/>
        </w:rPr>
        <w:t>）。</w:t>
      </w:r>
    </w:p>
    <w:p w14:paraId="1D8F9B2D">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（二）合同价款是指本次服务内容所需的全部费用, 包括但不限于策划费、实施费、发布费、出版费、人员工资、设备费、税金及其它全部费用。</w:t>
      </w:r>
    </w:p>
    <w:p w14:paraId="60962ACD">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（三）合同价款一次性包死，不受市场价格变化因素的影响。</w:t>
      </w:r>
    </w:p>
    <w:p w14:paraId="699220B6">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二、委托工作内容：</w:t>
      </w:r>
      <w:r>
        <w:rPr>
          <w:rFonts w:hint="eastAsia" w:ascii="仿宋_GB2312" w:hAnsi="仿宋_GB2312" w:eastAsia="仿宋_GB2312" w:cs="仿宋_GB2312"/>
          <w:color w:val="auto"/>
          <w:sz w:val="28"/>
          <w:szCs w:val="28"/>
          <w:highlight w:val="none"/>
          <w:u w:val="single"/>
          <w:lang w:val="en-US" w:eastAsia="zh-CN"/>
        </w:rPr>
        <w:t>原创稿件策划采编、原创视频拍摄制作、政务新媒体平台运维、设计制作印刷出版发行工作。</w:t>
      </w:r>
    </w:p>
    <w:p w14:paraId="1C654FC2">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三、款项结算</w:t>
      </w:r>
    </w:p>
    <w:p w14:paraId="510FCD99">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（一）付款方式：</w:t>
      </w:r>
    </w:p>
    <w:p w14:paraId="76DE75C0">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1、本合同签订后，达到付款条件起15日内，支付合同总金额的40%。</w:t>
      </w:r>
    </w:p>
    <w:p w14:paraId="2BA76412">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2、在合同履行3个月后，达到付款条件起15日内，支付合同总金额的30%。</w:t>
      </w:r>
    </w:p>
    <w:p w14:paraId="2B9760E9">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3、在乙方合同全部履行完毕，并经甲方书面验收合格后，达到付款条件起15日内，支付合同总金额的30%。</w:t>
      </w:r>
    </w:p>
    <w:p w14:paraId="58F9A579">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甲方每次付款前5日，乙方应按照甲方要求提供等额合规增值税发票并送达，若甲方延迟收到发票导致的延迟付款，甲方不承担违约责任，但不影响乙方应履行的合同义务，但不影响乙方应履行的合同义务。</w:t>
      </w:r>
    </w:p>
    <w:p w14:paraId="34579DFA">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（二）结算方式：银行转账。</w:t>
      </w:r>
    </w:p>
    <w:p w14:paraId="0057D862">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（三）结算单位：由甲方负责结算，乙方开具合同价款的全额发票给甲方。</w:t>
      </w:r>
    </w:p>
    <w:p w14:paraId="5ED92049">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四、服务地点及服务期</w:t>
      </w:r>
    </w:p>
    <w:p w14:paraId="45C8657D">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（一）服务地点：西安市范围内，具体以甲方指定地点为准。</w:t>
      </w:r>
    </w:p>
    <w:p w14:paraId="76556924">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（二）服务期：自合同签订之日起1年。</w:t>
      </w:r>
    </w:p>
    <w:p w14:paraId="49DFB81B">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五、双方的权利和义务</w:t>
      </w:r>
    </w:p>
    <w:p w14:paraId="44774111">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（一）甲方的权利与义务</w:t>
      </w:r>
    </w:p>
    <w:p w14:paraId="61EC7CE9">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1、甲方负责配合本次项目服务工作；</w:t>
      </w:r>
    </w:p>
    <w:p w14:paraId="17B0994F">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2、甲方应按本合同的约定向乙方支付合同价款；</w:t>
      </w:r>
    </w:p>
    <w:p w14:paraId="5341E20C">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3、甲方根据需要对乙方提供的实施方案进行审核，提供建议及意见，确定最终实施的服务方案，以便乙方遵照执行；</w:t>
      </w:r>
    </w:p>
    <w:p w14:paraId="1ECAAC45">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4、甲方有权对乙方的工作进行监督和考核。</w:t>
      </w:r>
    </w:p>
    <w:p w14:paraId="723618FB">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（二）乙方的权利与义务</w:t>
      </w:r>
    </w:p>
    <w:p w14:paraId="178F18CF">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1、乙方的工作人员必须严格遵守甲方的规章制度，以良好的形象和积极的工作态度，按甲方要求开展工作；</w:t>
      </w:r>
    </w:p>
    <w:p w14:paraId="74A51DFC">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2、乙方应服从甲方统筹管理并按流程开展工作；</w:t>
      </w:r>
    </w:p>
    <w:p w14:paraId="290E8E1A">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3、乙方提交的方案等应得到甲方确认再予以实施。</w:t>
      </w:r>
    </w:p>
    <w:p w14:paraId="30CC9F8A">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六、服务质量保证</w:t>
      </w:r>
    </w:p>
    <w:p w14:paraId="53EE24CA">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以招标文件、澄清表、合同和服务承诺的相关文件为准，但至少应包括：</w:t>
      </w:r>
    </w:p>
    <w:p w14:paraId="00D0F856">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（一）乙方需派一名常驻项目经理，直接与甲方沟通，项目经理接收甲方提出的问题与要求，并及时向公司申请调动资源，解决甲方在项目实施过程中遇到的问题。</w:t>
      </w:r>
    </w:p>
    <w:p w14:paraId="7060C35B">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（二）项目在实施过程中会出现不可预料的需求变更，乙方需积极配合甲方的需求变更，并按照变更后的需求继续制作。</w:t>
      </w:r>
    </w:p>
    <w:p w14:paraId="71441B96">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（三）对于重大故障或者需要较高技术的服务，乙方需根据甲方的具体情况，紧急成立由各专家和资深技术人员组成的专家服务组，为客户提供诊断和技术咨询服务，迅速排除故障。</w:t>
      </w:r>
    </w:p>
    <w:p w14:paraId="4618C04A">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（四）乙方需设有详细的技术资料档案和服务档案，将保存项目的详细资料以便于更好地提供服务。</w:t>
      </w:r>
    </w:p>
    <w:p w14:paraId="1C057A8A">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（五）服务响应：提供7*24小时的服务响应，出现问题或意外情况时，乙方会及时派出相关人员1小时内解决问题。</w:t>
      </w:r>
    </w:p>
    <w:p w14:paraId="366FA7F8">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七、知识产权</w:t>
      </w:r>
    </w:p>
    <w:p w14:paraId="742C21CF">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（一）本项目知识产权归甲方所有。</w:t>
      </w:r>
    </w:p>
    <w:p w14:paraId="66BABAE2">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（二）乙方无论出于任何目的如在其他地方使用该成果，必须经甲方同意方可使用。否则，甲方有权要求终止涉及到该中标知识产权的任何使用活动并保留追究卖方相应的法律责任的权利。 </w:t>
      </w:r>
    </w:p>
    <w:p w14:paraId="6E7DFABF">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（三）乙方为执行本合同而提供的技术资料使用权归甲方所有。</w:t>
      </w:r>
    </w:p>
    <w:p w14:paraId="0E5DAC91">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八、保密规定</w:t>
      </w:r>
    </w:p>
    <w:p w14:paraId="2FF4DDAB">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甲、乙双方应永久恪守因签署或履行本合同而获知的对方秘密信息及其它秘密资料。任何一方如将获知的对方秘密信息泄露给第三方，应赔偿因泄密而给对方造成的一切损失并承担相应的法律责任（包括刑事责任）。</w:t>
      </w:r>
    </w:p>
    <w:p w14:paraId="7788AB20">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九、其他事项</w:t>
      </w:r>
    </w:p>
    <w:p w14:paraId="2B39E838">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（一）乙方不得转让给其它单位或个人。</w:t>
      </w:r>
    </w:p>
    <w:p w14:paraId="16692B89">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（二）乙方的投标文件和承诺等内容将列入合同。</w:t>
      </w:r>
    </w:p>
    <w:p w14:paraId="28A0E8EF">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十、验收</w:t>
      </w:r>
    </w:p>
    <w:p w14:paraId="1AB929DF">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（一）本项目验收费用，由乙方自行承担。</w:t>
      </w:r>
    </w:p>
    <w:p w14:paraId="159D9263">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（二）服务期满后，由乙方向甲方递交验收通知书，经甲方确认后，组织乙方进行验收。验收合格后，填写政府采购项目验收单作为对本次服务的最终认可。</w:t>
      </w:r>
    </w:p>
    <w:p w14:paraId="56244F68">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（三）验收依据：</w:t>
      </w:r>
    </w:p>
    <w:p w14:paraId="1EAC344B">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1、本合同及附加文本；</w:t>
      </w:r>
    </w:p>
    <w:p w14:paraId="4F3A0F49">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2、招标文件、乙方的投标文件及澄清（承诺）函；</w:t>
      </w:r>
    </w:p>
    <w:p w14:paraId="0BF9C605">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3、国家相应的标准、规范。</w:t>
      </w:r>
    </w:p>
    <w:p w14:paraId="247A54D2">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十一、违约责任</w:t>
      </w:r>
    </w:p>
    <w:p w14:paraId="7748B60C">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（一）按《中华人民共和国民法典》中的相关条款执行。</w:t>
      </w:r>
    </w:p>
    <w:p w14:paraId="5C3B612F">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（二）未按合同要求提供服务或服务质量不能满足本次招标要求，甲方会同监督机构、采购代理机构有权终止合同和对乙方违约行为进行追究，同时按政府采购法的有关规定进行相应的处罚。</w:t>
      </w:r>
    </w:p>
    <w:p w14:paraId="63FB188E">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十二、合同争议解决的方式</w:t>
      </w:r>
    </w:p>
    <w:p w14:paraId="1E5ED0F0">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本合同在履行过程中发生的争议，由甲、乙双方当事人协商解决，协商不成的按下列第</w:t>
      </w:r>
      <w:r>
        <w:rPr>
          <w:rFonts w:hint="eastAsia" w:ascii="仿宋_GB2312" w:hAnsi="仿宋_GB2312" w:eastAsia="仿宋_GB2312" w:cs="仿宋_GB2312"/>
          <w:color w:val="auto"/>
          <w:sz w:val="28"/>
          <w:szCs w:val="28"/>
          <w:highlight w:val="none"/>
          <w:u w:val="single"/>
          <w:lang w:val="en-US" w:eastAsia="zh-CN"/>
        </w:rPr>
        <w:t>（二）</w:t>
      </w:r>
      <w:r>
        <w:rPr>
          <w:rFonts w:hint="eastAsia" w:ascii="仿宋_GB2312" w:hAnsi="仿宋_GB2312" w:eastAsia="仿宋_GB2312" w:cs="仿宋_GB2312"/>
          <w:color w:val="auto"/>
          <w:sz w:val="28"/>
          <w:szCs w:val="28"/>
          <w:highlight w:val="none"/>
          <w:lang w:val="en-US" w:eastAsia="zh-CN"/>
        </w:rPr>
        <w:t>种方式解决：</w:t>
      </w:r>
    </w:p>
    <w:p w14:paraId="432EB2DF">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（一）提交西安仲裁委员会仲裁；</w:t>
      </w:r>
    </w:p>
    <w:p w14:paraId="28B01DBB">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（二）依法向乙方所在地人民法院起诉。</w:t>
      </w:r>
    </w:p>
    <w:p w14:paraId="6512E03A">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十三、合同生效</w:t>
      </w:r>
    </w:p>
    <w:p w14:paraId="6049A91F">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（一）本合同须经甲、乙双方的法定代表人（授权代表）在合同书上签字并加盖本单位公章后正式生效。</w:t>
      </w:r>
    </w:p>
    <w:p w14:paraId="212424BC">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（二）合同生效后，甲、乙双方须严格执行本合同条款的规定，全面履行合同，违者按《中华人民共和国民法典》的有关规定承担相应责任。</w:t>
      </w:r>
    </w:p>
    <w:p w14:paraId="05C85B82">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（三）本合同一式</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lang w:val="en-US" w:eastAsia="zh-CN"/>
        </w:rPr>
        <w:t>份，甲乙双方各执</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lang w:val="en-US" w:eastAsia="zh-CN"/>
        </w:rPr>
        <w:t>份。</w:t>
      </w:r>
    </w:p>
    <w:p w14:paraId="1DA60FBB">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color w:val="auto"/>
          <w:sz w:val="28"/>
          <w:szCs w:val="28"/>
          <w:highlight w:val="none"/>
          <w:lang w:val="en-US" w:eastAsia="zh-CN"/>
        </w:rPr>
        <w:t>（四）本合同如有未尽事宜，甲、乙双方协商解决</w:t>
      </w:r>
      <w:r>
        <w:rPr>
          <w:rFonts w:hint="eastAsia" w:ascii="仿宋_GB2312" w:hAnsi="仿宋_GB2312" w:eastAsia="仿宋_GB2312" w:cs="仿宋_GB2312"/>
          <w:bCs/>
          <w:color w:val="auto"/>
          <w:sz w:val="28"/>
          <w:szCs w:val="28"/>
          <w:highlight w:val="none"/>
        </w:rPr>
        <w:t>。</w:t>
      </w:r>
    </w:p>
    <w:p w14:paraId="7F0C2E2D">
      <w:pPr>
        <w:pStyle w:val="5"/>
        <w:rPr>
          <w:rFonts w:ascii="仿宋_GB2312" w:hAnsi="仿宋_GB2312" w:eastAsia="仿宋_GB2312" w:cs="仿宋_GB2312"/>
          <w:color w:val="auto"/>
          <w:sz w:val="28"/>
          <w:szCs w:val="28"/>
          <w:highlight w:val="none"/>
        </w:rPr>
      </w:pPr>
    </w:p>
    <w:p w14:paraId="699CB23A">
      <w:pPr>
        <w:pStyle w:val="5"/>
        <w:rPr>
          <w:rFonts w:ascii="仿宋_GB2312" w:hAnsi="仿宋_GB2312" w:eastAsia="仿宋_GB2312" w:cs="仿宋_GB2312"/>
          <w:color w:val="auto"/>
          <w:sz w:val="28"/>
          <w:szCs w:val="28"/>
          <w:highlight w:val="none"/>
        </w:rPr>
      </w:pPr>
      <w:bookmarkStart w:id="0" w:name="_GoBack"/>
      <w:bookmarkEnd w:id="0"/>
    </w:p>
    <w:tbl>
      <w:tblPr>
        <w:tblStyle w:val="13"/>
        <w:tblW w:w="0" w:type="auto"/>
        <w:jc w:val="center"/>
        <w:tblLayout w:type="fixed"/>
        <w:tblCellMar>
          <w:top w:w="0" w:type="dxa"/>
          <w:left w:w="108" w:type="dxa"/>
          <w:bottom w:w="0" w:type="dxa"/>
          <w:right w:w="108" w:type="dxa"/>
        </w:tblCellMar>
      </w:tblPr>
      <w:tblGrid>
        <w:gridCol w:w="4201"/>
        <w:gridCol w:w="4202"/>
      </w:tblGrid>
      <w:tr w14:paraId="77BFA85D">
        <w:tblPrEx>
          <w:tblCellMar>
            <w:top w:w="0" w:type="dxa"/>
            <w:left w:w="108" w:type="dxa"/>
            <w:bottom w:w="0" w:type="dxa"/>
            <w:right w:w="108" w:type="dxa"/>
          </w:tblCellMar>
        </w:tblPrEx>
        <w:trPr>
          <w:trHeight w:val="567" w:hRule="exact"/>
          <w:jc w:val="center"/>
        </w:trPr>
        <w:tc>
          <w:tcPr>
            <w:tcW w:w="4201" w:type="dxa"/>
            <w:vAlign w:val="center"/>
          </w:tcPr>
          <w:p w14:paraId="4F011BBB">
            <w:pPr>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甲  方</w:t>
            </w:r>
          </w:p>
        </w:tc>
        <w:tc>
          <w:tcPr>
            <w:tcW w:w="4202" w:type="dxa"/>
            <w:vAlign w:val="center"/>
          </w:tcPr>
          <w:p w14:paraId="673CFDCC">
            <w:pPr>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乙  方</w:t>
            </w:r>
          </w:p>
        </w:tc>
      </w:tr>
      <w:tr w14:paraId="4753CA75">
        <w:tblPrEx>
          <w:tblCellMar>
            <w:top w:w="0" w:type="dxa"/>
            <w:left w:w="108" w:type="dxa"/>
            <w:bottom w:w="0" w:type="dxa"/>
            <w:right w:w="108" w:type="dxa"/>
          </w:tblCellMar>
        </w:tblPrEx>
        <w:trPr>
          <w:trHeight w:val="567" w:hRule="exact"/>
          <w:jc w:val="center"/>
        </w:trPr>
        <w:tc>
          <w:tcPr>
            <w:tcW w:w="4201" w:type="dxa"/>
            <w:vAlign w:val="center"/>
          </w:tcPr>
          <w:p w14:paraId="6AC8F3B4">
            <w:pPr>
              <w:ind w:firstLine="840" w:firstLineChars="350"/>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（盖章）</w:t>
            </w:r>
          </w:p>
        </w:tc>
        <w:tc>
          <w:tcPr>
            <w:tcW w:w="4202" w:type="dxa"/>
            <w:vAlign w:val="center"/>
          </w:tcPr>
          <w:p w14:paraId="1736655A">
            <w:pPr>
              <w:ind w:firstLine="960" w:firstLineChars="400"/>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（盖章）</w:t>
            </w:r>
          </w:p>
        </w:tc>
      </w:tr>
      <w:tr w14:paraId="4E0E6611">
        <w:tblPrEx>
          <w:tblCellMar>
            <w:top w:w="0" w:type="dxa"/>
            <w:left w:w="108" w:type="dxa"/>
            <w:bottom w:w="0" w:type="dxa"/>
            <w:right w:w="108" w:type="dxa"/>
          </w:tblCellMar>
        </w:tblPrEx>
        <w:trPr>
          <w:trHeight w:val="567" w:hRule="exact"/>
          <w:jc w:val="center"/>
        </w:trPr>
        <w:tc>
          <w:tcPr>
            <w:tcW w:w="4201" w:type="dxa"/>
            <w:vAlign w:val="center"/>
          </w:tcPr>
          <w:p w14:paraId="4EFEA748">
            <w:pPr>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 xml:space="preserve">地址： </w:t>
            </w:r>
          </w:p>
        </w:tc>
        <w:tc>
          <w:tcPr>
            <w:tcW w:w="4202" w:type="dxa"/>
            <w:vAlign w:val="center"/>
          </w:tcPr>
          <w:p w14:paraId="441B78FF">
            <w:pPr>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地址：</w:t>
            </w:r>
          </w:p>
        </w:tc>
      </w:tr>
      <w:tr w14:paraId="598F8520">
        <w:tblPrEx>
          <w:tblCellMar>
            <w:top w:w="0" w:type="dxa"/>
            <w:left w:w="108" w:type="dxa"/>
            <w:bottom w:w="0" w:type="dxa"/>
            <w:right w:w="108" w:type="dxa"/>
          </w:tblCellMar>
        </w:tblPrEx>
        <w:trPr>
          <w:trHeight w:val="567" w:hRule="exact"/>
          <w:jc w:val="center"/>
        </w:trPr>
        <w:tc>
          <w:tcPr>
            <w:tcW w:w="4201" w:type="dxa"/>
            <w:vAlign w:val="center"/>
          </w:tcPr>
          <w:p w14:paraId="58049886">
            <w:pPr>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邮编：</w:t>
            </w:r>
          </w:p>
        </w:tc>
        <w:tc>
          <w:tcPr>
            <w:tcW w:w="4202" w:type="dxa"/>
            <w:vAlign w:val="center"/>
          </w:tcPr>
          <w:p w14:paraId="490E7293">
            <w:pPr>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邮编：</w:t>
            </w:r>
          </w:p>
        </w:tc>
      </w:tr>
      <w:tr w14:paraId="715BF674">
        <w:tblPrEx>
          <w:tblCellMar>
            <w:top w:w="0" w:type="dxa"/>
            <w:left w:w="108" w:type="dxa"/>
            <w:bottom w:w="0" w:type="dxa"/>
            <w:right w:w="108" w:type="dxa"/>
          </w:tblCellMar>
        </w:tblPrEx>
        <w:trPr>
          <w:trHeight w:val="567" w:hRule="exact"/>
          <w:jc w:val="center"/>
        </w:trPr>
        <w:tc>
          <w:tcPr>
            <w:tcW w:w="4201" w:type="dxa"/>
            <w:vAlign w:val="center"/>
          </w:tcPr>
          <w:p w14:paraId="6B8B3096">
            <w:pPr>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 xml:space="preserve">法定代表人： </w:t>
            </w:r>
          </w:p>
        </w:tc>
        <w:tc>
          <w:tcPr>
            <w:tcW w:w="4202" w:type="dxa"/>
            <w:vAlign w:val="center"/>
          </w:tcPr>
          <w:p w14:paraId="0889409D">
            <w:pPr>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法定代表人：</w:t>
            </w:r>
          </w:p>
        </w:tc>
      </w:tr>
      <w:tr w14:paraId="2F7F64BD">
        <w:tblPrEx>
          <w:tblCellMar>
            <w:top w:w="0" w:type="dxa"/>
            <w:left w:w="108" w:type="dxa"/>
            <w:bottom w:w="0" w:type="dxa"/>
            <w:right w:w="108" w:type="dxa"/>
          </w:tblCellMar>
        </w:tblPrEx>
        <w:trPr>
          <w:trHeight w:val="567" w:hRule="exact"/>
          <w:jc w:val="center"/>
        </w:trPr>
        <w:tc>
          <w:tcPr>
            <w:tcW w:w="4201" w:type="dxa"/>
            <w:vAlign w:val="center"/>
          </w:tcPr>
          <w:p w14:paraId="42971B91">
            <w:pPr>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被授权代表：</w:t>
            </w:r>
          </w:p>
        </w:tc>
        <w:tc>
          <w:tcPr>
            <w:tcW w:w="4202" w:type="dxa"/>
            <w:vAlign w:val="center"/>
          </w:tcPr>
          <w:p w14:paraId="2D464E6D">
            <w:pPr>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被授权代表：</w:t>
            </w:r>
          </w:p>
        </w:tc>
      </w:tr>
      <w:tr w14:paraId="3C535BEC">
        <w:tblPrEx>
          <w:tblCellMar>
            <w:top w:w="0" w:type="dxa"/>
            <w:left w:w="108" w:type="dxa"/>
            <w:bottom w:w="0" w:type="dxa"/>
            <w:right w:w="108" w:type="dxa"/>
          </w:tblCellMar>
        </w:tblPrEx>
        <w:trPr>
          <w:trHeight w:val="567" w:hRule="exact"/>
          <w:jc w:val="center"/>
        </w:trPr>
        <w:tc>
          <w:tcPr>
            <w:tcW w:w="4201" w:type="dxa"/>
            <w:vAlign w:val="center"/>
          </w:tcPr>
          <w:p w14:paraId="3A8FAF06">
            <w:pPr>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电话：</w:t>
            </w:r>
          </w:p>
        </w:tc>
        <w:tc>
          <w:tcPr>
            <w:tcW w:w="4202" w:type="dxa"/>
            <w:vAlign w:val="center"/>
          </w:tcPr>
          <w:p w14:paraId="21D5E77A">
            <w:pPr>
              <w:ind w:left="720" w:hanging="720" w:hangingChars="300"/>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电话：</w:t>
            </w:r>
          </w:p>
        </w:tc>
      </w:tr>
      <w:tr w14:paraId="2A40E66F">
        <w:tblPrEx>
          <w:tblCellMar>
            <w:top w:w="0" w:type="dxa"/>
            <w:left w:w="108" w:type="dxa"/>
            <w:bottom w:w="0" w:type="dxa"/>
            <w:right w:w="108" w:type="dxa"/>
          </w:tblCellMar>
        </w:tblPrEx>
        <w:trPr>
          <w:trHeight w:val="567" w:hRule="exact"/>
          <w:jc w:val="center"/>
        </w:trPr>
        <w:tc>
          <w:tcPr>
            <w:tcW w:w="4201" w:type="dxa"/>
            <w:vAlign w:val="center"/>
          </w:tcPr>
          <w:p w14:paraId="15B10C45">
            <w:pPr>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传真：</w:t>
            </w:r>
          </w:p>
        </w:tc>
        <w:tc>
          <w:tcPr>
            <w:tcW w:w="4202" w:type="dxa"/>
            <w:vAlign w:val="center"/>
          </w:tcPr>
          <w:p w14:paraId="5573E5BD">
            <w:pPr>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传真：</w:t>
            </w:r>
          </w:p>
        </w:tc>
      </w:tr>
      <w:tr w14:paraId="37AD6EE6">
        <w:tblPrEx>
          <w:tblCellMar>
            <w:top w:w="0" w:type="dxa"/>
            <w:left w:w="108" w:type="dxa"/>
            <w:bottom w:w="0" w:type="dxa"/>
            <w:right w:w="108" w:type="dxa"/>
          </w:tblCellMar>
        </w:tblPrEx>
        <w:trPr>
          <w:trHeight w:val="567" w:hRule="exact"/>
          <w:jc w:val="center"/>
        </w:trPr>
        <w:tc>
          <w:tcPr>
            <w:tcW w:w="4201" w:type="dxa"/>
            <w:vAlign w:val="center"/>
          </w:tcPr>
          <w:p w14:paraId="4D660B23">
            <w:pPr>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开户银行：</w:t>
            </w:r>
          </w:p>
        </w:tc>
        <w:tc>
          <w:tcPr>
            <w:tcW w:w="4202" w:type="dxa"/>
            <w:vAlign w:val="center"/>
          </w:tcPr>
          <w:p w14:paraId="6AA233E3">
            <w:pPr>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开户银行：</w:t>
            </w:r>
          </w:p>
        </w:tc>
      </w:tr>
      <w:tr w14:paraId="6775EDBB">
        <w:tblPrEx>
          <w:tblCellMar>
            <w:top w:w="0" w:type="dxa"/>
            <w:left w:w="108" w:type="dxa"/>
            <w:bottom w:w="0" w:type="dxa"/>
            <w:right w:w="108" w:type="dxa"/>
          </w:tblCellMar>
        </w:tblPrEx>
        <w:trPr>
          <w:trHeight w:val="567" w:hRule="exact"/>
          <w:jc w:val="center"/>
        </w:trPr>
        <w:tc>
          <w:tcPr>
            <w:tcW w:w="4201" w:type="dxa"/>
            <w:vAlign w:val="center"/>
          </w:tcPr>
          <w:p w14:paraId="7F70A4E0">
            <w:pPr>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日期：</w:t>
            </w:r>
          </w:p>
        </w:tc>
        <w:tc>
          <w:tcPr>
            <w:tcW w:w="4202" w:type="dxa"/>
            <w:vAlign w:val="center"/>
          </w:tcPr>
          <w:p w14:paraId="36A67747">
            <w:pPr>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日期：</w:t>
            </w:r>
          </w:p>
        </w:tc>
      </w:tr>
    </w:tbl>
    <w:p w14:paraId="3689BEB9">
      <w:pPr>
        <w:jc w:val="right"/>
      </w:pPr>
    </w:p>
    <w:sectPr>
      <w:headerReference r:id="rId3" w:type="default"/>
      <w:footerReference r:id="rId4" w:type="default"/>
      <w:pgSz w:w="11909" w:h="16841"/>
      <w:pgMar w:top="1417" w:right="1417" w:bottom="1417" w:left="1417" w:header="850" w:footer="10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01385244-048D-4A69-B2B2-60BAB481123F}"/>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2" w:fontKey="{8CB905F2-E58D-45B6-828B-A5CF329FFE09}"/>
  </w:font>
  <w:font w:name="仿宋_GB2312">
    <w:panose1 w:val="02010609030101010101"/>
    <w:charset w:val="86"/>
    <w:family w:val="modern"/>
    <w:pitch w:val="default"/>
    <w:sig w:usb0="00000001" w:usb1="080E0000" w:usb2="00000000" w:usb3="00000000" w:csb0="00040000" w:csb1="00000000"/>
    <w:embedRegular r:id="rId3" w:fontKey="{DEF9429B-5A65-4406-83B1-30882CB04488}"/>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78FE8">
    <w:pPr>
      <w:spacing w:line="14" w:lineRule="auto"/>
      <w:rPr>
        <w:rFonts w:ascii="Arial"/>
        <w:sz w:val="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C11F6">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29BB6BC2"/>
    <w:rsid w:val="00032C77"/>
    <w:rsid w:val="00042B50"/>
    <w:rsid w:val="0005444A"/>
    <w:rsid w:val="00055484"/>
    <w:rsid w:val="00196F8D"/>
    <w:rsid w:val="002134F5"/>
    <w:rsid w:val="00240D10"/>
    <w:rsid w:val="002A2C9E"/>
    <w:rsid w:val="00301B8C"/>
    <w:rsid w:val="00333158"/>
    <w:rsid w:val="00366B06"/>
    <w:rsid w:val="005C205E"/>
    <w:rsid w:val="00680F55"/>
    <w:rsid w:val="006B2966"/>
    <w:rsid w:val="006E04B8"/>
    <w:rsid w:val="007377F8"/>
    <w:rsid w:val="007646EA"/>
    <w:rsid w:val="008B1E38"/>
    <w:rsid w:val="009015B2"/>
    <w:rsid w:val="009F1E94"/>
    <w:rsid w:val="00AD6F4F"/>
    <w:rsid w:val="00B35765"/>
    <w:rsid w:val="00C65FC8"/>
    <w:rsid w:val="00CC3A78"/>
    <w:rsid w:val="00CE21B5"/>
    <w:rsid w:val="00CF6641"/>
    <w:rsid w:val="00E8712A"/>
    <w:rsid w:val="00EF3803"/>
    <w:rsid w:val="00F47186"/>
    <w:rsid w:val="00FA5ACA"/>
    <w:rsid w:val="00FC1B97"/>
    <w:rsid w:val="01981D96"/>
    <w:rsid w:val="02680F16"/>
    <w:rsid w:val="05C313AC"/>
    <w:rsid w:val="06044D8E"/>
    <w:rsid w:val="063C3527"/>
    <w:rsid w:val="071938B9"/>
    <w:rsid w:val="0B186D4E"/>
    <w:rsid w:val="0BFB500F"/>
    <w:rsid w:val="0CF24C32"/>
    <w:rsid w:val="0DA008CC"/>
    <w:rsid w:val="0EBB3568"/>
    <w:rsid w:val="0EC60B07"/>
    <w:rsid w:val="10332904"/>
    <w:rsid w:val="10CF4970"/>
    <w:rsid w:val="10F63A27"/>
    <w:rsid w:val="14561BE7"/>
    <w:rsid w:val="172B4FA4"/>
    <w:rsid w:val="192A37C4"/>
    <w:rsid w:val="198577DD"/>
    <w:rsid w:val="19966094"/>
    <w:rsid w:val="1CA80820"/>
    <w:rsid w:val="1D6E70FD"/>
    <w:rsid w:val="1E0F7272"/>
    <w:rsid w:val="21665943"/>
    <w:rsid w:val="244871F4"/>
    <w:rsid w:val="25295AB7"/>
    <w:rsid w:val="274E2D73"/>
    <w:rsid w:val="27EF733B"/>
    <w:rsid w:val="281441C3"/>
    <w:rsid w:val="292902AA"/>
    <w:rsid w:val="29BB6BC2"/>
    <w:rsid w:val="2C0F4050"/>
    <w:rsid w:val="2EEA293E"/>
    <w:rsid w:val="2F1025C8"/>
    <w:rsid w:val="30104537"/>
    <w:rsid w:val="313868D1"/>
    <w:rsid w:val="325B49C3"/>
    <w:rsid w:val="326A7D77"/>
    <w:rsid w:val="33EF3E56"/>
    <w:rsid w:val="39094D4C"/>
    <w:rsid w:val="3CCE5611"/>
    <w:rsid w:val="3CE71A85"/>
    <w:rsid w:val="3FC574F3"/>
    <w:rsid w:val="412A6A1E"/>
    <w:rsid w:val="414032D5"/>
    <w:rsid w:val="45FB0DB9"/>
    <w:rsid w:val="467E02E4"/>
    <w:rsid w:val="4EC118A7"/>
    <w:rsid w:val="4F1C52C5"/>
    <w:rsid w:val="4FDA2485"/>
    <w:rsid w:val="54F63A8A"/>
    <w:rsid w:val="57DF2953"/>
    <w:rsid w:val="5C7E1FD1"/>
    <w:rsid w:val="5D3B49BA"/>
    <w:rsid w:val="60E414E6"/>
    <w:rsid w:val="61E5759F"/>
    <w:rsid w:val="6398560D"/>
    <w:rsid w:val="64A137DB"/>
    <w:rsid w:val="64A2036D"/>
    <w:rsid w:val="696F3399"/>
    <w:rsid w:val="734E36BE"/>
    <w:rsid w:val="741C09D0"/>
    <w:rsid w:val="74343D24"/>
    <w:rsid w:val="764F97C9"/>
    <w:rsid w:val="78C53AE4"/>
    <w:rsid w:val="7EB51055"/>
    <w:rsid w:val="7FB46D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1"/>
    </w:rPr>
  </w:style>
  <w:style w:type="paragraph" w:styleId="4">
    <w:name w:val="annotation text"/>
    <w:basedOn w:val="1"/>
    <w:autoRedefine/>
    <w:qFormat/>
    <w:uiPriority w:val="0"/>
    <w:pPr>
      <w:jc w:val="left"/>
    </w:pPr>
  </w:style>
  <w:style w:type="paragraph" w:styleId="5">
    <w:name w:val="Body Text"/>
    <w:basedOn w:val="1"/>
    <w:autoRedefine/>
    <w:qFormat/>
    <w:uiPriority w:val="99"/>
    <w:pPr>
      <w:jc w:val="left"/>
    </w:pPr>
    <w:rPr>
      <w:kern w:val="0"/>
    </w:rPr>
  </w:style>
  <w:style w:type="paragraph" w:styleId="6">
    <w:name w:val="Plain Text"/>
    <w:basedOn w:val="1"/>
    <w:autoRedefine/>
    <w:qFormat/>
    <w:uiPriority w:val="0"/>
    <w:rPr>
      <w:rFonts w:ascii="宋体" w:hAnsi="Courier New"/>
      <w:kern w:val="0"/>
      <w:sz w:val="20"/>
    </w:rPr>
  </w:style>
  <w:style w:type="paragraph" w:styleId="7">
    <w:name w:val="Balloon Text"/>
    <w:basedOn w:val="1"/>
    <w:link w:val="18"/>
    <w:autoRedefine/>
    <w:qFormat/>
    <w:uiPriority w:val="0"/>
    <w:rPr>
      <w:sz w:val="18"/>
      <w:szCs w:val="18"/>
    </w:rPr>
  </w:style>
  <w:style w:type="paragraph" w:styleId="8">
    <w:name w:val="footer"/>
    <w:basedOn w:val="1"/>
    <w:autoRedefine/>
    <w:qFormat/>
    <w:uiPriority w:val="0"/>
    <w:pPr>
      <w:tabs>
        <w:tab w:val="center" w:pos="4140"/>
        <w:tab w:val="right" w:pos="8300"/>
      </w:tabs>
      <w:snapToGrid w:val="0"/>
      <w:jc w:val="left"/>
    </w:pPr>
    <w:rPr>
      <w:sz w:val="18"/>
      <w:szCs w:val="18"/>
    </w:rPr>
  </w:style>
  <w:style w:type="paragraph" w:styleId="9">
    <w:name w:val="header"/>
    <w:basedOn w:val="1"/>
    <w:link w:val="17"/>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1">
    <w:name w:val="Normal (Web)"/>
    <w:basedOn w:val="1"/>
    <w:autoRedefine/>
    <w:qFormat/>
    <w:uiPriority w:val="99"/>
    <w:pPr>
      <w:widowControl/>
      <w:spacing w:before="100" w:beforeAutospacing="1" w:after="100" w:afterAutospacing="1"/>
      <w:jc w:val="left"/>
    </w:pPr>
    <w:rPr>
      <w:rFonts w:ascii="宋体" w:cs="宋体"/>
      <w:kern w:val="0"/>
      <w:sz w:val="24"/>
      <w:szCs w:val="24"/>
    </w:rPr>
  </w:style>
  <w:style w:type="paragraph" w:styleId="12">
    <w:name w:val="Body Text First Indent"/>
    <w:basedOn w:val="5"/>
    <w:autoRedefine/>
    <w:qFormat/>
    <w:uiPriority w:val="0"/>
    <w:pPr>
      <w:spacing w:line="360" w:lineRule="auto"/>
      <w:ind w:firstLine="420"/>
    </w:pPr>
    <w:rPr>
      <w:rFonts w:ascii="宋体" w:hAnsi="宋体"/>
      <w:sz w:val="24"/>
    </w:rPr>
  </w:style>
  <w:style w:type="table" w:styleId="14">
    <w:name w:val="Table Grid"/>
    <w:basedOn w:val="1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autoRedefine/>
    <w:qFormat/>
    <w:uiPriority w:val="0"/>
    <w:rPr>
      <w:sz w:val="21"/>
      <w:szCs w:val="21"/>
    </w:rPr>
  </w:style>
  <w:style w:type="character" w:customStyle="1" w:styleId="17">
    <w:name w:val="页眉 Char"/>
    <w:basedOn w:val="15"/>
    <w:link w:val="9"/>
    <w:autoRedefine/>
    <w:qFormat/>
    <w:uiPriority w:val="0"/>
    <w:rPr>
      <w:kern w:val="2"/>
      <w:sz w:val="18"/>
      <w:szCs w:val="18"/>
    </w:rPr>
  </w:style>
  <w:style w:type="character" w:customStyle="1" w:styleId="18">
    <w:name w:val="批注框文本 Char"/>
    <w:basedOn w:val="15"/>
    <w:link w:val="7"/>
    <w:autoRedefine/>
    <w:qFormat/>
    <w:uiPriority w:val="0"/>
    <w:rPr>
      <w:kern w:val="2"/>
      <w:sz w:val="18"/>
      <w:szCs w:val="18"/>
    </w:rPr>
  </w:style>
  <w:style w:type="paragraph" w:customStyle="1" w:styleId="19">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
    <w:name w:val="正文空2格  1."/>
    <w:basedOn w:val="1"/>
    <w:autoRedefine/>
    <w:qFormat/>
    <w:uiPriority w:val="0"/>
    <w:pPr>
      <w:adjustRightInd w:val="0"/>
      <w:spacing w:line="360" w:lineRule="auto"/>
      <w:ind w:firstLine="480" w:firstLineChars="200"/>
    </w:pPr>
    <w:rPr>
      <w:rFonts w:hint="eastAsia" w:ascii="宋体" w:eastAsia="仿宋" w:cs="宋体"/>
      <w:kern w:val="0"/>
      <w:sz w:val="28"/>
    </w:rPr>
  </w:style>
  <w:style w:type="paragraph" w:customStyle="1" w:styleId="21">
    <w:name w:val="Default1"/>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Company>
  <Pages>5</Pages>
  <Words>2878</Words>
  <Characters>2897</Characters>
  <Lines>12</Lines>
  <Paragraphs>3</Paragraphs>
  <TotalTime>0</TotalTime>
  <ScaleCrop>false</ScaleCrop>
  <LinksUpToDate>false</LinksUpToDate>
  <CharactersWithSpaces>3129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2025-03-26T08:38:00Z</dcterms:created>
  <dc:creator>独舞的蒲公英</dc:creator>
  <cp:lastModifiedBy>陕西华采招标有限公司</cp:lastModifiedBy>
  <cp:lastPrinted>2022-09-28T14:56:00Z</cp:lastPrinted>
  <dcterms:modified xsi:type="dcterms:W3CDTF">2026-06-17T10:55:11Z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E79E879024B94D3FB100E7468F0D228F</vt:lpwstr>
  </property>
  <property fmtid="{D5CDD505-2E9C-101B-9397-08002B2CF9AE}" pid="4" name="KSOTemplateDocerSaveRecord">
    <vt:lpwstr>eyJoZGlkIjoiYjZjMDgwYWJjZmNiM2YzZmU4MTk1ZjZmYmY1NWU1OTEiLCJ1c2VySWQiOiI5MzY1NjA0ODAifQ==</vt:lpwstr>
  </property>
</Properties>
</file>