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版本号：2026-HXCT-13820260612001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三原县大程镇西周初级中学提升改造项目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2026-HXCT-138</w:t>
      </w:r>
      <w:r>
        <w:br/>
      </w:r>
      <w:r>
        <w:br/>
      </w:r>
      <w:r>
        <w:br/>
      </w:r>
    </w:p>
    <w:p>
      <w:pPr>
        <w:pStyle w:val="null3"/>
        <w:jc w:val="center"/>
        <w:outlineLvl w:val="2"/>
      </w:pPr>
      <w:r>
        <w:rPr>
          <w:rFonts w:ascii="仿宋_GB2312" w:hAnsi="仿宋_GB2312" w:cs="仿宋_GB2312" w:eastAsia="仿宋_GB2312"/>
          <w:sz w:val="28"/>
          <w:b/>
        </w:rPr>
        <w:t>三原县大程镇西周中学</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三原县大程镇西周中学</w:t>
      </w:r>
      <w:r>
        <w:rPr>
          <w:rFonts w:ascii="仿宋_GB2312" w:hAnsi="仿宋_GB2312" w:cs="仿宋_GB2312" w:eastAsia="仿宋_GB2312"/>
        </w:rPr>
        <w:t>委托，拟对</w:t>
      </w:r>
      <w:r>
        <w:rPr>
          <w:rFonts w:ascii="仿宋_GB2312" w:hAnsi="仿宋_GB2312" w:cs="仿宋_GB2312" w:eastAsia="仿宋_GB2312"/>
        </w:rPr>
        <w:t>三原县大程镇西周初级中学提升改造项目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2026-HXCT-138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三原县大程镇西周初级中学提升改造项目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餐厅外墙真石漆，内墙粉刷，地面铺设瓷砖，操作间包墙面，更换上下水，更换灯线路，教室内墙粉刷，瓷砖修补，厕所更换蹲便器、水箱，办公楼漏水维修。具体详见采购文件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采购包1（三原县大程镇西周初级中学提升改造项目）：属于专门面向中小企业采购。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营业执照/事业单位法人证书/专业服务机构执业许可证/民办非企业单位登记证书等相关证明，自然人参与的提供其身份证明。</w:t>
      </w:r>
    </w:p>
    <w:p>
      <w:pPr>
        <w:pStyle w:val="null3"/>
      </w:pPr>
      <w:r>
        <w:rPr>
          <w:rFonts w:ascii="仿宋_GB2312" w:hAnsi="仿宋_GB2312" w:cs="仿宋_GB2312" w:eastAsia="仿宋_GB2312"/>
        </w:rPr>
        <w:t>2、资质要求：供应商须具备建设行政主管部门颁发的建筑工程施工总承包三级及以上资质，并具备建设行政主管部门颁发的安全生产许可证。</w:t>
      </w:r>
    </w:p>
    <w:p>
      <w:pPr>
        <w:pStyle w:val="null3"/>
      </w:pPr>
      <w:r>
        <w:rPr>
          <w:rFonts w:ascii="仿宋_GB2312" w:hAnsi="仿宋_GB2312" w:cs="仿宋_GB2312" w:eastAsia="仿宋_GB2312"/>
        </w:rPr>
        <w:t>3、拟派项目负责人资质及专业要求：证书等级：二级注册建造师专业：建筑工程补充说明：具有有效的安全生产考核合格证(B证)，且未担任其他在建工程项目的项目经理（提供无在建工程证明）</w:t>
      </w:r>
    </w:p>
    <w:p>
      <w:pPr>
        <w:pStyle w:val="null3"/>
      </w:pPr>
      <w:r>
        <w:rPr>
          <w:rFonts w:ascii="仿宋_GB2312" w:hAnsi="仿宋_GB2312" w:cs="仿宋_GB2312" w:eastAsia="仿宋_GB2312"/>
        </w:rPr>
        <w:t>4、投标人及拟派项目负责人查询：省内供应商资质基本信息及项目负责人基本信息应在“陕西省住房和城乡建设厅网（http://js.shaanxi.gov.cn/）-办事服务-企业库可查询；省外供应商资质基本信息及项目负责人基本信息应在“陕西省住房和城乡建设厅网（http://js.shaanxi.gov.cn/）-办事服务-企业库-外省进陕施工企业可查询</w:t>
      </w:r>
    </w:p>
    <w:p>
      <w:pPr>
        <w:pStyle w:val="null3"/>
      </w:pPr>
      <w:r>
        <w:rPr>
          <w:rFonts w:ascii="仿宋_GB2312" w:hAnsi="仿宋_GB2312" w:cs="仿宋_GB2312" w:eastAsia="仿宋_GB2312"/>
        </w:rPr>
        <w:t>5、财务情况：提供2024或2025年度经审计完整的财务审计报告（成立时间至提交磋商响应文件截止时间不足一年的可提供成立后任意时段的资产负债表）或磋商截止日前六个月内基本存款账户开户银行出具的资信证明（附开户许可证或开户证明）</w:t>
      </w:r>
    </w:p>
    <w:p>
      <w:pPr>
        <w:pStyle w:val="null3"/>
      </w:pPr>
      <w:r>
        <w:rPr>
          <w:rFonts w:ascii="仿宋_GB2312" w:hAnsi="仿宋_GB2312" w:cs="仿宋_GB2312" w:eastAsia="仿宋_GB2312"/>
        </w:rPr>
        <w:t>6、纳税证明：提供磋商截止日前六个月内任意一个月的纳税证明或完税证明（增值税、印花税、城市维护建设费、企业所得税等一种或多种税种），依法免税的单位提供相关证明材料。</w:t>
      </w:r>
    </w:p>
    <w:p>
      <w:pPr>
        <w:pStyle w:val="null3"/>
      </w:pPr>
      <w:r>
        <w:rPr>
          <w:rFonts w:ascii="仿宋_GB2312" w:hAnsi="仿宋_GB2312" w:cs="仿宋_GB2312" w:eastAsia="仿宋_GB2312"/>
        </w:rPr>
        <w:t>7、社保缴纳证明：提供磋商截止日前六个月内任意一个月的社保资金交纳证明，依法不需要缴纳社保资金的单位提供相关证明材料。</w:t>
      </w:r>
    </w:p>
    <w:p>
      <w:pPr>
        <w:pStyle w:val="null3"/>
      </w:pPr>
      <w:r>
        <w:rPr>
          <w:rFonts w:ascii="仿宋_GB2312" w:hAnsi="仿宋_GB2312" w:cs="仿宋_GB2312" w:eastAsia="仿宋_GB2312"/>
        </w:rPr>
        <w:t>8、具有履行合同所必需的设备和专业技术能力：提供具有履行合同所必需的设备和专业技术能力的承诺</w:t>
      </w:r>
    </w:p>
    <w:p>
      <w:pPr>
        <w:pStyle w:val="null3"/>
      </w:pPr>
      <w:r>
        <w:rPr>
          <w:rFonts w:ascii="仿宋_GB2312" w:hAnsi="仿宋_GB2312" w:cs="仿宋_GB2312" w:eastAsia="仿宋_GB2312"/>
        </w:rPr>
        <w:t>9、无重大违法记录：参加本次政府采购活动前三年内在经营活动中没有重大违法记录的书面声明。</w:t>
      </w:r>
    </w:p>
    <w:p>
      <w:pPr>
        <w:pStyle w:val="null3"/>
      </w:pPr>
      <w:r>
        <w:rPr>
          <w:rFonts w:ascii="仿宋_GB2312" w:hAnsi="仿宋_GB2312" w:cs="仿宋_GB2312" w:eastAsia="仿宋_GB2312"/>
        </w:rPr>
        <w:t>10、法定代表人授权书/法定代表人身份证明：法定代表人直接参加磋商的，须出具法定代表人身份证明。法定代表人委托代理人参加磋商的，须出具法定代表人授权书（附法定代表人、代理人身份证复印件）</w:t>
      </w:r>
    </w:p>
    <w:p>
      <w:pPr>
        <w:pStyle w:val="null3"/>
      </w:pPr>
      <w:r>
        <w:rPr>
          <w:rFonts w:ascii="仿宋_GB2312" w:hAnsi="仿宋_GB2312" w:cs="仿宋_GB2312" w:eastAsia="仿宋_GB2312"/>
        </w:rPr>
        <w:t>11、信用记录：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pPr>
        <w:pStyle w:val="null3"/>
      </w:pPr>
      <w:r>
        <w:rPr>
          <w:rFonts w:ascii="仿宋_GB2312" w:hAnsi="仿宋_GB2312" w:cs="仿宋_GB2312" w:eastAsia="仿宋_GB2312"/>
        </w:rPr>
        <w:t>12、联合体：本项目不接受联合体磋商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三原县大程镇西周中学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陕西省咸阳市三原县大程镇西周村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王志军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13572764807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西安经济技术开发区凤城七路长和国际D座26层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马玺杰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18690075807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李强</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的《招标代理服务收费管理暂行办法》（计价格〔2002〕1980号）和国家发展和改革委员会办公厅印发的《关于招标代理服务收费有关问题的通知》（发改办价格〔2003〕857号）的有关规定计取。成交供应商在领取成交通知书前，须向采购代理机构一次性支付招标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三原县大程镇西周中学</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三原县大程镇西周中学</w:t>
      </w:r>
      <w:r>
        <w:rPr>
          <w:rFonts w:ascii="仿宋_GB2312" w:hAnsi="仿宋_GB2312" w:cs="仿宋_GB2312" w:eastAsia="仿宋_GB2312"/>
        </w:rPr>
        <w:t>负责解释。除上述磋商文件内容，其他内容由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三原县大程镇西周中学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达到并实现预期绩效目标。</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联系人：马玺杰</w:t>
      </w:r>
    </w:p>
    <w:p>
      <w:pPr>
        <w:pStyle w:val="null3"/>
      </w:pPr>
      <w:r>
        <w:rPr>
          <w:rFonts w:ascii="仿宋_GB2312" w:hAnsi="仿宋_GB2312" w:cs="仿宋_GB2312" w:eastAsia="仿宋_GB2312"/>
        </w:rPr>
        <w:t>联系电话： 18690075807</w:t>
      </w:r>
    </w:p>
    <w:p>
      <w:pPr>
        <w:pStyle w:val="null3"/>
      </w:pPr>
      <w:r>
        <w:rPr>
          <w:rFonts w:ascii="仿宋_GB2312" w:hAnsi="仿宋_GB2312" w:cs="仿宋_GB2312" w:eastAsia="仿宋_GB2312"/>
        </w:rPr>
        <w:t>地址：西安经济技术开发区凤城七路长和国际D座26层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750,000.00</w:t>
      </w:r>
    </w:p>
    <w:p>
      <w:pPr>
        <w:pStyle w:val="null3"/>
      </w:pPr>
      <w:r>
        <w:rPr>
          <w:rFonts w:ascii="仿宋_GB2312" w:hAnsi="仿宋_GB2312" w:cs="仿宋_GB2312" w:eastAsia="仿宋_GB2312"/>
        </w:rPr>
        <w:t>采购包最高限价（元）: 750,000.00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三原县大程镇西周初级中学提升改造项目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标的名称：三原县大程镇西周初级中学提升改造项目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一、项目概况</w:t>
            </w:r>
          </w:p>
          <w:p>
            <w:pPr>
              <w:pStyle w:val="null3"/>
              <w:ind w:firstLine="536"/>
              <w:jc w:val="both"/>
            </w:pPr>
            <w:r>
              <w:rPr>
                <w:rFonts w:ascii="仿宋_GB2312" w:hAnsi="仿宋_GB2312" w:cs="仿宋_GB2312" w:eastAsia="仿宋_GB2312"/>
                <w:sz w:val="21"/>
              </w:rPr>
              <w:t>1.项目名称：</w:t>
            </w:r>
            <w:r>
              <w:rPr>
                <w:rFonts w:ascii="仿宋_GB2312" w:hAnsi="仿宋_GB2312" w:cs="仿宋_GB2312" w:eastAsia="仿宋_GB2312"/>
                <w:sz w:val="21"/>
                <w:b/>
              </w:rPr>
              <w:t>三原县大程镇西周初级中学提升改造项目</w:t>
            </w:r>
          </w:p>
          <w:p>
            <w:pPr>
              <w:pStyle w:val="null3"/>
              <w:ind w:firstLine="536"/>
              <w:jc w:val="both"/>
            </w:pPr>
            <w:r>
              <w:rPr>
                <w:rFonts w:ascii="仿宋_GB2312" w:hAnsi="仿宋_GB2312" w:cs="仿宋_GB2312" w:eastAsia="仿宋_GB2312"/>
                <w:sz w:val="21"/>
              </w:rPr>
              <w:t>2.项目概况：</w:t>
            </w:r>
            <w:r>
              <w:rPr>
                <w:rFonts w:ascii="仿宋_GB2312" w:hAnsi="仿宋_GB2312" w:cs="仿宋_GB2312" w:eastAsia="仿宋_GB2312"/>
                <w:sz w:val="21"/>
              </w:rPr>
              <w:t>餐厅外墙真石漆，内墙粉刷，地面铺设瓷砖，操作间包墙面，更换上下水，更换灯线路，教室内墙粉刷，瓷砖修补，厕所更换蹲便器、水箱等，办公楼漏水维修。</w:t>
            </w:r>
          </w:p>
          <w:p>
            <w:pPr>
              <w:pStyle w:val="null3"/>
              <w:ind w:firstLine="536"/>
              <w:jc w:val="both"/>
            </w:pPr>
            <w:r>
              <w:rPr>
                <w:rFonts w:ascii="仿宋_GB2312" w:hAnsi="仿宋_GB2312" w:cs="仿宋_GB2312" w:eastAsia="仿宋_GB2312"/>
                <w:sz w:val="21"/>
              </w:rPr>
              <w:t>3.项目地点：</w:t>
            </w:r>
            <w:r>
              <w:rPr>
                <w:rFonts w:ascii="仿宋_GB2312" w:hAnsi="仿宋_GB2312" w:cs="仿宋_GB2312" w:eastAsia="仿宋_GB2312"/>
                <w:sz w:val="21"/>
              </w:rPr>
              <w:t xml:space="preserve"> 三原县大程镇西周初级中学</w:t>
            </w:r>
          </w:p>
          <w:p>
            <w:pPr>
              <w:pStyle w:val="null3"/>
              <w:ind w:firstLine="536"/>
              <w:jc w:val="both"/>
            </w:pPr>
            <w:r>
              <w:rPr>
                <w:rFonts w:ascii="仿宋_GB2312" w:hAnsi="仿宋_GB2312" w:cs="仿宋_GB2312" w:eastAsia="仿宋_GB2312"/>
                <w:sz w:val="21"/>
              </w:rPr>
              <w:t>4.工期：60天</w:t>
            </w:r>
          </w:p>
          <w:p>
            <w:pPr>
              <w:pStyle w:val="null3"/>
              <w:ind w:firstLine="536"/>
              <w:jc w:val="both"/>
            </w:pPr>
            <w:r>
              <w:rPr>
                <w:rFonts w:ascii="仿宋_GB2312" w:hAnsi="仿宋_GB2312" w:cs="仿宋_GB2312" w:eastAsia="仿宋_GB2312"/>
                <w:sz w:val="21"/>
              </w:rPr>
              <w:t>5.质量要求：符合国家及地方现行有关验收规范“合格”标准。</w:t>
            </w:r>
          </w:p>
          <w:p>
            <w:pPr>
              <w:pStyle w:val="null3"/>
              <w:ind w:firstLine="538"/>
              <w:jc w:val="both"/>
            </w:pPr>
            <w:r>
              <w:rPr>
                <w:rFonts w:ascii="仿宋_GB2312" w:hAnsi="仿宋_GB2312" w:cs="仿宋_GB2312" w:eastAsia="仿宋_GB2312"/>
                <w:sz w:val="21"/>
                <w:b/>
              </w:rPr>
              <w:t>二、其他说明：</w:t>
            </w:r>
          </w:p>
          <w:p>
            <w:pPr>
              <w:pStyle w:val="null3"/>
            </w:pPr>
            <w:r>
              <w:rPr>
                <w:rFonts w:ascii="仿宋_GB2312" w:hAnsi="仿宋_GB2312" w:cs="仿宋_GB2312" w:eastAsia="仿宋_GB2312"/>
                <w:sz w:val="21"/>
              </w:rPr>
              <w:t>采购人明确的全部工程内容，具体详见工程量清单。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满足采购人要求。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经审计完整的财务审计报告（成立时间至提交磋商响应文件截止时间不足一年的可提供成立后任意时段的资产负债表）或磋商截止日前六个月内基本存款账户开户银行出具的资信证明（附开户许可证或开户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具有独立承担民事责任能力的法人、其他组织或自然人，提供合法有效的营业执照/事业单位法人证书/专业服务机构执业许可证/民办非企业单位登记证书等相关证明，自然人参与的提供其身份证明。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供应商须具备建设行政主管部门颁发的建筑工程施工总承包三级及以上资质，并具备建设行政主管部门颁发的安全生产许可证。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拟派项目负责人资质及专业要求</w:t>
            </w:r>
          </w:p>
        </w:tc>
        <w:tc>
          <w:tcPr>
            <w:tcW w:type="dxa" w:w="3322"/>
          </w:tcPr>
          <w:p>
            <w:pPr>
              <w:pStyle w:val="null3"/>
            </w:pPr>
            <w:r>
              <w:rPr>
                <w:rFonts w:ascii="仿宋_GB2312" w:hAnsi="仿宋_GB2312" w:cs="仿宋_GB2312" w:eastAsia="仿宋_GB2312"/>
              </w:rPr>
              <w:t>证书等级：二级注册建造师专业：建筑工程补充说明：具有有效的安全生产考核合格证(B证)，且未担任其他在建工程项目的项目经理（提供无在建工程证明）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投标人及拟派项目负责人查询</w:t>
            </w:r>
          </w:p>
        </w:tc>
        <w:tc>
          <w:tcPr>
            <w:tcW w:type="dxa" w:w="3322"/>
          </w:tcPr>
          <w:p>
            <w:pPr>
              <w:pStyle w:val="null3"/>
            </w:pPr>
            <w:r>
              <w:rPr>
                <w:rFonts w:ascii="仿宋_GB2312" w:hAnsi="仿宋_GB2312" w:cs="仿宋_GB2312" w:eastAsia="仿宋_GB2312"/>
              </w:rPr>
              <w:t>省内供应商资质基本信息及项目负责人基本信息应在“陕西省住房和城乡建设厅网（http://js.shaanxi.gov.cn/）-办事服务-企业库可查询；省外供应商资质基本信息及项目负责人基本信息应在“陕西省住房和城乡建设厅网（http://js.shaanxi.gov.cn/）-办事服务-企业库-外省进陕施工企业可查询</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财务情况</w:t>
            </w:r>
          </w:p>
        </w:tc>
        <w:tc>
          <w:tcPr>
            <w:tcW w:type="dxa" w:w="3322"/>
          </w:tcPr>
          <w:p>
            <w:pPr>
              <w:pStyle w:val="null3"/>
            </w:pPr>
            <w:r>
              <w:rPr>
                <w:rFonts w:ascii="仿宋_GB2312" w:hAnsi="仿宋_GB2312" w:cs="仿宋_GB2312" w:eastAsia="仿宋_GB2312"/>
              </w:rPr>
              <w:t>提供2024或2025年度经审计完整的财务审计报告（成立时间至提交磋商响应文件截止时间不足一年的可提供成立后任意时段的资产负债表）或磋商截止日前六个月内基本存款账户开户银行出具的资信证明（附开户许可证或开户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提供磋商截止日前六个月内任意一个月的纳税证明或完税证明（增值税、印花税、城市维护建设费、企业所得税等一种或多种税种），依法免税的单位提供相关证明材料。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提供磋商截止日前六个月内任意一个月的社保资金交纳证明，依法不需要缴纳社保资金的单位提供相关证明材料。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供应商参加政府采购活动承诺书.docx 已标价工程量清单 中小企业声明函 技术服务合同条款及其他商务要求应答表 资格证明文件.docx 强制优先采购产品承诺函 响应文件封面 项目管理机构组成表 残疾人福利性单位声明函 报价函 其它说明.docx 标的清单 供应商类似项目业绩一览表 响应函 主要人员简历表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供应商参加政府采购活动承诺书.docx 已标价工程量清单 中小企业声明函 技术服务合同条款及其他商务要求应答表 资格证明文件.docx 强制优先采购产品承诺函 响应文件封面 项目管理机构组成表 残疾人福利性单位声明函 报价函 其它说明.docx 标的清单 供应商类似项目业绩一览表 响应函 主要人员简历表 监狱企业的证明文件 磋商方案.docx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符合“磋商响应文件格式”要求。（不得因文件排序等非实质性的格式、形式问题限制和影响供应商响应)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供应商参加政府采购活动承诺书.docx 已标价工程量清单 中小企业声明函 技术服务合同条款及其他商务要求应答表 资格证明文件.docx 强制优先采购产品承诺函 响应文件封面 项目管理机构组成表 残疾人福利性单位声明函 报价函 其它说明.docx 标的清单 供应商类似项目业绩一览表 响应函 主要人员简历表 监狱企业的证明文件 磋商方案.docx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供应商参加政府采购活动承诺书.docx 已标价工程量清单 中小企业声明函 技术服务合同条款及其他商务要求应答表 资格证明文件.docx 强制优先采购产品承诺函 响应文件封面 项目管理机构组成表 残疾人福利性单位声明函 报价函 其它说明.docx 标的清单 供应商类似项目业绩一览表 响应函 主要人员简历表 监狱企业的证明文件 磋商方案.docx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供应商参加政府采购活动承诺书.docx 已标价工程量清单 中小企业声明函 技术服务合同条款及其他商务要求应答表 资格证明文件.docx 强制优先采购产品承诺函 响应文件封面 项目管理机构组成表 残疾人福利性单位声明函 报价函 其它说明.docx 标的清单 供应商类似项目业绩一览表 响应函 主要人员简历表 监狱企业的证明文件 磋商方案.docx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（1）磋商报价符合唯一性要求；（2）第一次磋商报价表填写符合要求；（3）计量单位、报价货币均符合磋商文件要求；（4）未超出采购预算或磋商文件规定的最高限价。</w:t>
            </w:r>
          </w:p>
        </w:tc>
        <w:tc>
          <w:tcPr>
            <w:tcW w:type="dxa" w:w="1661"/>
          </w:tcPr>
          <w:p>
            <w:pPr>
              <w:pStyle w:val="null3"/>
            </w:pPr>
            <w:r>
              <w:rPr>
                <w:rFonts w:ascii="仿宋_GB2312" w:hAnsi="仿宋_GB2312" w:cs="仿宋_GB2312" w:eastAsia="仿宋_GB2312"/>
              </w:rPr>
              <w:t>供应商参加政府采购活动承诺书.docx 已标价工程量清单 中小企业声明函 技术服务合同条款及其他商务要求应答表 资格证明文件.docx 强制优先采购产品承诺函 响应文件封面 项目管理机构组成表 残疾人福利性单位声明函 报价函 其它说明.docx 标的清单 供应商类似项目业绩一览表 响应函 主要人员简历表 监狱企业的证明文件 磋商方案.docx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 附加条件。</w:t>
            </w:r>
          </w:p>
        </w:tc>
        <w:tc>
          <w:tcPr>
            <w:tcW w:type="dxa" w:w="1661"/>
          </w:tcPr>
          <w:p>
            <w:pPr>
              <w:pStyle w:val="null3"/>
            </w:pPr>
            <w:r>
              <w:rPr>
                <w:rFonts w:ascii="仿宋_GB2312" w:hAnsi="仿宋_GB2312" w:cs="仿宋_GB2312" w:eastAsia="仿宋_GB2312"/>
              </w:rPr>
              <w:t>供应商参加政府采购活动承诺书.docx 已标价工程量清单 中小企业声明函 技术服务合同条款及其他商务要求应答表 资格证明文件.docx 强制优先采购产品承诺函 响应文件封面 项目管理机构组成表 残疾人福利性单位声明函 报价函 其它说明.docx 标的清单 供应商类似项目业绩一览表 响应函 主要人员简历表 监狱企业的证明文件 磋商方案.docx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方案专门针对本项目编制，符合项目实际情况及实施要求，内容详尽且涵盖角度全面，合理性和可行性强，能够保障项目顺利实施的，得5分；方案能够针对本项目编制，符合项目实际情况及实施要求，内容详尽且涵盖角度基本全面，有一定的合理性和可行性的，得4分；方案基本能够针对本项目编制，基本符合项目实际情况及实施要求，内容较宽泛，涵盖角度不够全面，内容基本合理可行的，得3分；具有方案内容但内容未贴合本项目，内容涵盖角度不够全面且实施有难度的，得2分；具有方案内容但内容未针对本项目，内容空洞宽泛，基本不具有可实施性，得1分；未提供方案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措施内容能够针对本项目编制，符合项目实际情况及实施要求，内容详尽且涵盖角度基本全面，有一定的合理性和可行性的，得4分；措施内容基本能够针对本项目编制，基本符合项目实际情况及实施要求，内容较详细，涵盖角度较全面，基本合理可行的，得3分；具有措施内容但措施内容未贴合本项目，措施内容涵盖角度不全面且实施有难度的，得2分；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措施内容能够针对本项目编制，符合项目实际情况及实施要求，内容详尽且涵盖角度基本全面，有一定的合理性和可行性的，得4分；措施内容基本能够针对本项目编制，基本符合项目实际情况及实施要求，内容较详细，涵盖角度较全面，基本合理可行的，得3分；具有措施内容但措施内容未贴合本项目，措施内容涵盖角度不全面且实施有难度的，得2分；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项目安全保证措施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措施内容能够针对本项目编制，符合项目实际情况及实施要求，内容详尽且涵盖角度基本全面，有一定的合理性和可行性的，得4分；措施内容基本能够针对本项目编制，基本符合项目实际情况及实施要求，内容较详细，涵盖角度较全面，基本合理可行的，得3分；具有措施内容但措施内容未贴合本项目，措施内容涵盖角度不全面且实施有难度的，得2分；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措施内容能够针对本项目编制，符合项目实际情况及实施要求，内容详尽且涵盖角度基本全面，有一定的合理性和可行性的，得4分；措施内容基本能够针对本项目编制，基本符合项目实际情况及实施要求，内容较详细，涵盖角度较全面，基本合理可行的，得3分；具有措施内容但措施内容未贴合本项目，措施内容涵盖角度不全面且实施有难度的，得2分；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施工机械及材料投入计划</w:t>
            </w:r>
          </w:p>
        </w:tc>
        <w:tc>
          <w:tcPr>
            <w:tcW w:type="dxa" w:w="2492"/>
          </w:tcPr>
          <w:p>
            <w:pPr>
              <w:pStyle w:val="null3"/>
            </w:pPr>
            <w:r>
              <w:rPr>
                <w:rFonts w:ascii="仿宋_GB2312" w:hAnsi="仿宋_GB2312" w:cs="仿宋_GB2312" w:eastAsia="仿宋_GB2312"/>
              </w:rPr>
              <w:t>投入计划专门针对本项目编制，符合项目实际情况及实施要求，内容详尽且涵盖角度全面，合理性和可行性强，能够保障项目顺利实施的，得5分；投入计划基本针对本项目编制，符合项目实际情况及实施要求，内容详尽且涵盖角度基本全面，有一定的合理性和可行性的，得4分；投入计划能够针对本项目编制，基本符合项目实际情况及实施要求，内容较详细，涵盖角度较全面但略有不完善，基本合理可行的，得3分；提供投入计划，但内容涵盖角度不够全面且实施具有一定难度，得2分；投入计划内容简单笼统，实施难度大的，得1分；未提供投入计划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施工进度网络图或施工进度表</w:t>
            </w:r>
          </w:p>
        </w:tc>
        <w:tc>
          <w:tcPr>
            <w:tcW w:type="dxa" w:w="2492"/>
          </w:tcPr>
          <w:p>
            <w:pPr>
              <w:pStyle w:val="null3"/>
            </w:pPr>
            <w:r>
              <w:rPr>
                <w:rFonts w:ascii="仿宋_GB2312" w:hAnsi="仿宋_GB2312" w:cs="仿宋_GB2312" w:eastAsia="仿宋_GB2312"/>
              </w:rPr>
              <w:t>网络图或进度表内容详尽、安排合理且实施性强计5分；网络图或进度表内容详尽、安排合理且实施性较强计4分；提供网络图或进度表内容、安排基本合理实施性缺乏计3分；提供网络图或进度表，内容不够全面，实施性不强计2分；提供网络图或进度表，内容不合理，不具有实施性计1分。未提供网络图或进度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安排计划科学全面、内容具体、针对性强计5分；安排计划基本全面、具有一定针对性计4分； 提供安排计划、内容基本合理、实施性欠妥计3分；提供安排计划，内容不够全面，实施性不强计2分；提供安排计划，内容简单笼统，不具有实施性计1分。未提供安排计划不计分。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项目部组成</w:t>
            </w:r>
          </w:p>
        </w:tc>
        <w:tc>
          <w:tcPr>
            <w:tcW w:type="dxa" w:w="2492"/>
          </w:tcPr>
          <w:p>
            <w:pPr>
              <w:pStyle w:val="null3"/>
            </w:pPr>
            <w:r>
              <w:rPr>
                <w:rFonts w:ascii="仿宋_GB2312" w:hAnsi="仿宋_GB2312" w:cs="仿宋_GB2312" w:eastAsia="仿宋_GB2312"/>
              </w:rPr>
              <w:t>项目部组成科学合理、人员表配置充足，有详细的人员配置清单，针对性强，能够很好的满足项目需求，得5分；项目部组成基本合理、人员表配置基本齐全，具有人员配置清单，有一定的针对性，能够满足项目需求，得4分；提供项目部组成情况，配置基本合理但组成不全面得3分；项目部组成人员缺乏科学合理性，无人员配置清单，无法满足项目需求，得2分； 项目部组成内容简单笼统得1分。未提供项目部组成不得分。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后续服务措施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措施内容能够针对本项目编制，符合项目实际情况及实施要求，内容详尽且涵盖角度基本全面，有一定的合理性和可行性的，得4分；措施内容基本能够针对本项目编制，基本符合项目实际情况及实施要求，内容较详细，涵盖角度较全面，基本合理可行的，得3分；具有措施内容但措施内容未贴合本项目，措施内容涵盖角度不全面且实施有难度的，得2分；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工程质量和质量保修承诺</w:t>
            </w:r>
          </w:p>
        </w:tc>
        <w:tc>
          <w:tcPr>
            <w:tcW w:type="dxa" w:w="2492"/>
          </w:tcPr>
          <w:p>
            <w:pPr>
              <w:pStyle w:val="null3"/>
            </w:pPr>
            <w:r>
              <w:rPr>
                <w:rFonts w:ascii="仿宋_GB2312" w:hAnsi="仿宋_GB2312" w:cs="仿宋_GB2312" w:eastAsia="仿宋_GB2312"/>
              </w:rPr>
              <w:t>承诺方案专门针对本项目编制，符合项目实际情况及实施要求，内容详尽且涵盖角度全面，合理性和可行性强，保障充分，得10分；承诺方案能够针对本项目编制，符合项目实际情况及实施要求，内容详尽且涵盖角度基本全面，有一定的合理性和可行性的，得8分；承诺方案内容基本能够针对本项目编制，基本符合项目实际情况及实施要求，内容较详细，涵盖角度较全面，基本合理可行的，得6分； 具有承诺内容但内容未贴合本项目，承诺内容涵盖角度不全面且实施有难度的，得4分；具有承诺内容但内容未针对本项目，内容空洞宽泛，可实施性不强，得2分；未提供承诺内容不得分。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提供供应商2023年6月1日至今类似项目业绩（以施工合同复印件加盖公章为准）每个计5分，最高得10分。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满足磋商文件要求且磋商价格最低的磋商报价为评标基准价，其价格分为满分。其他投标供应商的价格分统一按照下列公式计算：磋商报价得分=（评标基准价/磋商报价）×价格权值%×100。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详见附件：其它说明.docx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