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54166">
      <w:pPr>
        <w:pStyle w:val="3"/>
        <w:jc w:val="center"/>
        <w:rPr>
          <w:rFonts w:hint="default" w:ascii="仿宋" w:hAnsi="仿宋" w:eastAsia="仿宋" w:cs="Times New Roman"/>
          <w:b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sz w:val="36"/>
          <w:szCs w:val="36"/>
          <w:highlight w:val="none"/>
          <w:lang w:val="en-US" w:eastAsia="zh-CN"/>
        </w:rPr>
        <w:t>采购需求及要求</w:t>
      </w:r>
    </w:p>
    <w:p w14:paraId="3797FBB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项目概况：</w:t>
      </w:r>
    </w:p>
    <w:p w14:paraId="27E1EE9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立足陕西省图书馆智慧化转型需求，构建“AI馆员+AI知识库”一体化智慧服务体系，整合馆藏数字资源、优化现有服务流程，搭建智能交互、知识管理、智慧管理三大核心体系，打造全天候、个性化、智能化的读者服务新模式，提升图书馆服务效率、读者体验与精细化运营能力。</w:t>
      </w:r>
    </w:p>
    <w:p w14:paraId="54D12A4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sz w:val="28"/>
          <w:szCs w:val="28"/>
        </w:rPr>
        <w:t>1.服务地点要求</w:t>
      </w:r>
      <w:r>
        <w:rPr>
          <w:rFonts w:hint="eastAsia" w:ascii="仿宋" w:hAnsi="仿宋" w:eastAsia="仿宋" w:cs="仿宋"/>
          <w:sz w:val="28"/>
          <w:szCs w:val="28"/>
        </w:rPr>
        <w:t>：陕西省图书馆各馆区及线上服务平台</w:t>
      </w:r>
    </w:p>
    <w:p w14:paraId="6A14029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2.服务周期要求</w:t>
      </w:r>
      <w:r>
        <w:rPr>
          <w:rFonts w:hint="eastAsia" w:ascii="仿宋" w:hAnsi="仿宋" w:eastAsia="仿宋" w:cs="仿宋"/>
          <w:sz w:val="28"/>
          <w:szCs w:val="28"/>
        </w:rPr>
        <w:t>：自合同签订之日起60日历天内完成系统部署、调试、上线及验收，提供自项目成果通过采购人正式验收之日起3年免费质保及运维服务。</w:t>
      </w:r>
    </w:p>
    <w:p w14:paraId="62DCBDAA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3.项目采购需求（核心技术参数）</w:t>
      </w:r>
    </w:p>
    <w:p w14:paraId="66760512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本项目需完整建设智能交互服务模块、知识管理模块、智慧管理模块三大核心体系，配套搭建合规、稳定、可拓展的系统架构，按标准完成实施交付，具体技术及功能要求如下：</w:t>
      </w:r>
    </w:p>
    <w:p w14:paraId="6C857EE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3.1智能交互服务模块</w:t>
      </w:r>
    </w:p>
    <w:p w14:paraId="57449B5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3.1.1多模态智能对话系统</w:t>
      </w:r>
    </w:p>
    <w:p w14:paraId="366B402C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基于成熟自然语言处理技术搭建对话引擎，支持文字、语音双向交互，可精准解答图书馆开放时间、借阅规则、办证流程、活动信息等全品类高频业务问题。</w:t>
      </w:r>
    </w:p>
    <w:p w14:paraId="2CA558C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3.1.2智能交互能力</w:t>
      </w:r>
    </w:p>
    <w:p w14:paraId="24A83810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具备用户意图智能识别、槽位填充、多轮上下文记忆对话能力，交互逻辑自然流畅，可主动引导读者完成业务咨询。</w:t>
      </w:r>
    </w:p>
    <w:p w14:paraId="1DEA8CC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3.1.3智能资源检索</w:t>
      </w:r>
    </w:p>
    <w:p w14:paraId="314D76B3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支持自然语言语义检索，保留原有OPAC馆藏系统检索能力，新增知识库向量检索能力，对接图书馆原有OPAC检索书目数据，覆盖图书、期刊、电子文献、特色资源、专题知识库内容，实现跨类型、跨资源统一资源发现，模糊语义可精准匹配对应资源，大幅提升检索精准度与全面性。</w:t>
      </w:r>
    </w:p>
    <w:p w14:paraId="2BD7A1F9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3.1.4个性化推荐</w:t>
      </w:r>
    </w:p>
    <w:p w14:paraId="2B21CD71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基于读者借阅记录、检索行为、浏览偏好等数据，构建用户画像，实现图书资源、阅读活动、专题知识的个性化精准推荐。</w:t>
      </w:r>
    </w:p>
    <w:p w14:paraId="79E6172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3.1.5 AI深度阅读辅助服务</w:t>
      </w:r>
    </w:p>
    <w:p w14:paraId="428F97FF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配套建设全场景阅读赋能能力，支持AI智能伴读、个性化学习计划生成、AI智能笔记整理、跨语言阅读辅助、书中角色沉浸式对话等功能，深度赋能读者阅读学习场景，丰富智慧阅读服务体系。</w:t>
      </w:r>
    </w:p>
    <w:p w14:paraId="633CAEF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3.2知识管理模块（项目核心）</w:t>
      </w:r>
    </w:p>
    <w:p w14:paraId="0302B4F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3.2.1特色专题知识库升级建设</w:t>
      </w:r>
    </w:p>
    <w:p w14:paraId="44263B4F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优先完成馆藏知识库建设，系统梳理整合相关历史人物、重大事件、文献资料、旧址遗址、史料典籍等资源，构建标准化、结构化、可关联的沉浸式、可视化知识交互体验知识网络。</w:t>
      </w:r>
    </w:p>
    <w:p w14:paraId="5CFF6FE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3.2.2知识图谱可视化</w:t>
      </w:r>
    </w:p>
    <w:p w14:paraId="5C9E75BB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升级传统知识图谱能力，新增地理空间维度、历史时间维度，实现实体关系多维可视化展示，支持地图溯源、时间轴演进、人物-事件-文献-旧址多维度关联查询、脉络溯源展示，支持读者深度知识探索。</w:t>
      </w:r>
    </w:p>
    <w:p w14:paraId="546D56F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3.2.3知识加工能力</w:t>
      </w:r>
    </w:p>
    <w:p w14:paraId="3F866893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采用半自动化知识抽取模式，支持从地方志、特色资源库、结构化文献中批量提取知识实体与关联关系，支持人工审核校准，保障知识精准度。</w:t>
      </w:r>
    </w:p>
    <w:p w14:paraId="2698D64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3.2.4知识库运维能力</w:t>
      </w:r>
    </w:p>
    <w:p w14:paraId="2746C647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支持知识库内容新增、修改、下架、分类管理，具备常态化更新维护机制，可适配后续新增陕西特色专题知识库拓展建设。</w:t>
      </w:r>
    </w:p>
    <w:p w14:paraId="0911282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3.3智慧管理模块</w:t>
      </w:r>
    </w:p>
    <w:p w14:paraId="2E570B7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3.3.1数据统计分析</w:t>
      </w:r>
    </w:p>
    <w:p w14:paraId="2F2B3256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后台自动统计读者服务、资源利用数据，生成可视化统计报表，支持多维度数据筛选、导出、分析。</w:t>
      </w:r>
    </w:p>
    <w:p w14:paraId="622C728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3.3.2精细化运营支撑</w:t>
      </w:r>
    </w:p>
    <w:p w14:paraId="12A74254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通过数据分析为图书馆空间资源优化、读者活动策划、服务流程优化提供数据支撑，实现智慧化、精细化运营管理。新增扫码、碰一碰等便捷参与入口，简化读者活动参与流程。</w:t>
      </w:r>
    </w:p>
    <w:p w14:paraId="6AD5670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3.3.3 AI智能体技能沉淀复用机制</w:t>
      </w:r>
    </w:p>
    <w:p w14:paraId="0C34F29F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搭建OpenClaw技能沉淀平台，支持将馆员业务流程、优秀服务经验、标准咨询话术、运维流程沉淀为标准化可复用“技能包”，支持本馆常态化复用及跨机构共享调用，实现服务标准化、经验可复制、能力可延伸，降低长期运营成本。</w:t>
      </w:r>
    </w:p>
    <w:p w14:paraId="21B79A4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3.4系统架构与关键技术要求</w:t>
      </w:r>
    </w:p>
    <w:p w14:paraId="32490EE1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3.4.1整体架构</w:t>
      </w:r>
    </w:p>
    <w:p w14:paraId="69763A50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采用稳定成熟的云平台架构，具备高可用性、高安全性、可拓展性，支持后期功能迭代、资源扩容、多终端适配。</w:t>
      </w:r>
    </w:p>
    <w:p w14:paraId="76258CF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3.4.2系统对接</w:t>
      </w:r>
    </w:p>
    <w:p w14:paraId="3740A56A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通过标准API接口，无缝对接图书馆现有OPAC馆藏检索系统、数字资源平台，实时同步馆藏数据、资源数据，确保检索结果真实、准确、实时。</w:t>
      </w:r>
    </w:p>
    <w:p w14:paraId="4F4A83E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3.4.3技术选型原则</w:t>
      </w:r>
    </w:p>
    <w:p w14:paraId="2062A195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基于成熟商用、开源技术组件改造优化，不采用未落地、未成熟的前沿试验技术，保障系统可运维、可稳定运行。</w:t>
      </w:r>
    </w:p>
    <w:p w14:paraId="5647418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3.4.4数据存储架构</w:t>
      </w:r>
    </w:p>
    <w:p w14:paraId="57C5123F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采用关系型数据库+图数据库混合存储模式，兼顾系统查询响应速度、数据稳定性与知识关系可视化拓展需求。</w:t>
      </w:r>
    </w:p>
    <w:p w14:paraId="51B1C4F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3.4.5安全要求</w:t>
      </w:r>
    </w:p>
    <w:p w14:paraId="2B857BC1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符合国家网络安全、数据安全相关标准，具备数据加密、访问权限管控、操作日志留存、异常访问预警能力，保障读者隐私数据、馆藏资源数据、知识库数据安全。</w:t>
      </w:r>
    </w:p>
    <w:p w14:paraId="08680C4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3.5项目实施路径要求</w:t>
      </w:r>
    </w:p>
    <w:p w14:paraId="350F3FF8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投标人需严格按照三阶段实施计划落地项目，确保各阶段成果可验收、可使用：</w:t>
      </w:r>
    </w:p>
    <w:p w14:paraId="4611B92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3.5.1第一阶段（基础搭建）</w:t>
      </w:r>
    </w:p>
    <w:p w14:paraId="6865BEC0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完成智能问答核心引擎部署、基础业务知识库搭建，实现图书馆高频咨询问题自动化精准应答。</w:t>
      </w:r>
    </w:p>
    <w:p w14:paraId="71FD524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3.5.2第二阶段（核心建设）</w:t>
      </w:r>
    </w:p>
    <w:p w14:paraId="1159CC46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完成采购人指定的专题知识库主体内容加工、知识图谱搭建，实现与馆藏检索系统初步对接，完成核心知识功能上线。</w:t>
      </w:r>
    </w:p>
    <w:p w14:paraId="7492EE1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3.5.3第三阶段（整体落地）</w:t>
      </w:r>
    </w:p>
    <w:p w14:paraId="00D52EFB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整合全部智慧管理功能，完成PC端、移动端多终端适配，开展全系统功能测试、性能测试、用户体验优化，完成整体上线交付。</w:t>
      </w:r>
    </w:p>
    <w:p w14:paraId="02136F3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4.质量验收标准（硬性指标）</w:t>
      </w:r>
    </w:p>
    <w:p w14:paraId="78FDBDB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4.1功能验收指标</w:t>
      </w:r>
    </w:p>
    <w:p w14:paraId="5829B67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4.1.1智能问答系统</w:t>
      </w:r>
    </w:p>
    <w:p w14:paraId="77E5F3E6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读者高频咨询问题直接回答准确率≥90%，支持无答案问题后台归集、人工补充优化。</w:t>
      </w:r>
    </w:p>
    <w:p w14:paraId="680AC79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4.1.2专题知识库</w:t>
      </w:r>
    </w:p>
    <w:p w14:paraId="615EE628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所有关键实体信息、史料内容准确率100%，无错误、无遗漏关键信息。</w:t>
      </w:r>
    </w:p>
    <w:p w14:paraId="52C9A9F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4.1.3全功能模块</w:t>
      </w:r>
    </w:p>
    <w:p w14:paraId="1EA25E7B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运行稳定，无功能缺失、无逻辑漏洞，对接现有系统数据同步正常、无延迟、无错乱。</w:t>
      </w:r>
    </w:p>
    <w:p w14:paraId="53BD13D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4.2性能验收指标</w:t>
      </w:r>
    </w:p>
    <w:p w14:paraId="70108C8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4.2.1响应度</w:t>
      </w:r>
    </w:p>
    <w:p w14:paraId="28F048AD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系统核心页面、问答交互、资源检索、知识查询响应时间≤3秒。</w:t>
      </w:r>
    </w:p>
    <w:p w14:paraId="19FD763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4.2.2流畅度</w:t>
      </w:r>
    </w:p>
    <w:p w14:paraId="2DFE8DAB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系统并发能力满足图书馆日常访问峰值需求，高峰期无卡顿、无崩溃、无服务中断。</w:t>
      </w:r>
    </w:p>
    <w:p w14:paraId="51BE1A4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4.2.3稳定度</w:t>
      </w:r>
    </w:p>
    <w:p w14:paraId="0DC1CC8B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系统全年稳定运行率≥99.5%，质保期内无重大系统故障。</w:t>
      </w:r>
    </w:p>
    <w:p w14:paraId="6D427B8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4.3用户体验</w:t>
      </w:r>
    </w:p>
    <w:p w14:paraId="445A2FF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4.3.1系统界面简洁友好、操作流程清晰，符合公共图书馆读者使用习惯。</w:t>
      </w:r>
    </w:p>
    <w:p w14:paraId="30279FD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4.3.2多终端适配良好，适配电脑端、移动端等主流访问终端，交互体验统一。</w:t>
      </w:r>
    </w:p>
    <w:p w14:paraId="2D3E1CD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4.3.3通过用户可用性测试，整体满意度达标，无重大体验缺陷问题。</w:t>
      </w:r>
    </w:p>
    <w:p w14:paraId="12F71F2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5.项目成果交付</w:t>
      </w:r>
    </w:p>
    <w:p w14:paraId="61239190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投标人需完整交付以下成果，所有交付物需合规、完整、可落地、可运维：</w:t>
      </w:r>
    </w:p>
    <w:p w14:paraId="717D479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5.1全套软件系统</w:t>
      </w:r>
    </w:p>
    <w:p w14:paraId="05AF1D39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读者服务前端系统、图书馆智慧管理后台、配套数据库，支持云端部署，可直接上线使用。</w:t>
      </w:r>
    </w:p>
    <w:p w14:paraId="0EC13E2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5.2专题知识库成果</w:t>
      </w:r>
    </w:p>
    <w:p w14:paraId="5940CE44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经过加工、标注、校准的采购人指定专题知识库的结构化数据集、知识图谱成果。</w:t>
      </w:r>
    </w:p>
    <w:p w14:paraId="489A940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5.3全套文档资料</w:t>
      </w:r>
    </w:p>
    <w:p w14:paraId="6C9D292C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系统设计文档、数据库设计文档、部署手册、运维手册、用户使用手册、测试报告。</w:t>
      </w:r>
    </w:p>
    <w:p w14:paraId="72D59E1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5.4长效机制成果</w:t>
      </w:r>
    </w:p>
    <w:p w14:paraId="0155CBC6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搭建知识库持续更新、系统迭代优化、AI技能沉淀复用的长效运营机制，保障项目长期发挥效益。</w:t>
      </w:r>
    </w:p>
    <w:p w14:paraId="309D1E3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6.服务保障要求</w:t>
      </w:r>
    </w:p>
    <w:p w14:paraId="7C6E4A79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6.1质保服务要求</w:t>
      </w:r>
    </w:p>
    <w:p w14:paraId="7BCEE961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6.1.1项目整体质保期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sz w:val="28"/>
          <w:szCs w:val="28"/>
        </w:rPr>
        <w:t>年，自项目整体验收合格之日起计算，质保期内提供7×24小时技术咨询服务。</w:t>
      </w:r>
    </w:p>
    <w:p w14:paraId="5294573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6.1.2质保期内系统出现故障，投标人需0.5小时内响应、4小时内排查、24小时内完成修复，重大故障优先加急处理。</w:t>
      </w:r>
    </w:p>
    <w:p w14:paraId="5B64C5F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6.1.3质保期内免费提供系统功能优化、漏洞修复、数据校准、知识库内容常规更新服务。</w:t>
      </w:r>
    </w:p>
    <w:p w14:paraId="18247B8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6.2培训服务要求</w:t>
      </w:r>
    </w:p>
    <w:p w14:paraId="660E8761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投标人需提供免费现场培训服务，针对图书馆管理员、运维人员、业务人员开展系统操作、后台管理、知识库维护、数据统计等专项培训，确保工作人员熟练使用系统、独立完成日常运维。</w:t>
      </w:r>
    </w:p>
    <w:p w14:paraId="1A7CAC1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6.3知识产权要求</w:t>
      </w:r>
    </w:p>
    <w:p w14:paraId="4AC951D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6.3.1本项目所有交付成果（包括但不限于由系统软件产生所有数据、知识库数据、文档资料、标准规范等）知识产权归陕西省图书馆所有，投标人不得擅自使用、转让、授权第三方使用。</w:t>
      </w:r>
    </w:p>
    <w:p w14:paraId="158A0FE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6.3.2项目所用技术、组件、素材需合法合规，无版权纠纷、无侵权风险，若产生侵权问题，由投标人承担全部责任。</w:t>
      </w:r>
    </w:p>
    <w:p w14:paraId="752DD3D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6.4服务承诺</w:t>
      </w:r>
    </w:p>
    <w:p w14:paraId="388C0061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应提供承诺函，承诺所有项目实施中的接口对接不另外收取接口和对接费用；项目交付后，无论质保期内外，与用户购买的第三方产品对接时，按需配置接口数量，配合技术对接工作，不得另外收取对接及接口费用。</w:t>
      </w:r>
    </w:p>
    <w:p w14:paraId="4DAF64C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8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adjustRightInd w:val="0"/>
    </w:pPr>
    <w:rPr>
      <w:rFonts w:ascii="Copperplate Gothic Bold" w:hAnsi="Copperplate Gothic Bold" w:eastAsia="宋体" w:cs="Times New Roman"/>
      <w:sz w:val="28"/>
      <w:szCs w:val="28"/>
      <w:lang w:val="en-US" w:eastAsia="zh-CN" w:bidi="ar-SA"/>
    </w:rPr>
  </w:style>
  <w:style w:type="paragraph" w:styleId="3">
    <w:name w:val="heading 1"/>
    <w:next w:val="1"/>
    <w:qFormat/>
    <w:uiPriority w:val="9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黑体" w:hAnsi="Times New Roman" w:eastAsia="黑体" w:cs="Times New Roman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1"/>
    <w:qFormat/>
    <w:uiPriority w:val="0"/>
    <w:pPr>
      <w:widowControl w:val="0"/>
      <w:autoSpaceDE w:val="0"/>
      <w:autoSpaceDN w:val="0"/>
      <w:adjustRightInd w:val="0"/>
      <w:spacing w:after="120" w:afterLines="0"/>
    </w:pPr>
    <w:rPr>
      <w:rFonts w:ascii="Copperplate Gothic Bold" w:hAnsi="Copperplate Gothic Bold" w:eastAsia="宋体" w:cs="Times New Roman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2026-06-04T06:55:16Z</dcterms:created>
  <dc:creator>Administrator</dc:creator>
  <cp:lastModifiedBy>信禾工程项目管理</cp:lastModifiedBy>
  <dcterms:modified xsi:type="dcterms:W3CDTF">2026-06-04T06:55:26Z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eyJoZGlkIjoiNTUwMDIxNDAzYzg3ZWRhZWE0NjEzMTJkZTkxZGVhNGMiLCJ1c2VySWQiOiIyMDM0NDMxIn0=</vt:lpwstr>
  </property>
  <property fmtid="{D5CDD505-2E9C-101B-9397-08002B2CF9AE}" pid="4" name="ICV">
    <vt:lpwstr>B856A224E13D4884893A68C123F48627_12</vt:lpwstr>
  </property>
</Properties>
</file>