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版本号：HSGJ2026-131-120260430001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守护秦岭家园系列主题活动(二次)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HSGJ2026-131-1</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守护秦岭家园系列主题活动(二次)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HSGJ2026-131-1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守护秦岭家园系列主题活动(二次)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守护秦岭家园系列主题活动（二次），具体内容详见第三章。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4、社会保障资金缴纳证明：提供2025年4月1日至今已缴纳任意一个月的社会保障资金缴存单据或社保机构开具的社会保险参保缴费情况证明，依法不需要缴纳社会保障资金的单位应提供相关证明材料；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转账事由：HSGJ2026-131项目代理服务费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守护秦岭家园系列主题活动（二次），具体详见项目需求。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守护秦岭家园系列主题活动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标的名称：守护秦岭家园系列主题活动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16"/>
                <w:b/>
                <w:color w:val="000000"/>
              </w:rPr>
              <w:t>一、项目概况</w:t>
            </w:r>
          </w:p>
          <w:p>
            <w:pPr>
              <w:pStyle w:val="null3"/>
              <w:ind w:firstLine="566"/>
            </w:pPr>
            <w:r>
              <w:rPr>
                <w:rFonts w:ascii="仿宋_GB2312" w:hAnsi="仿宋_GB2312" w:cs="仿宋_GB2312" w:eastAsia="仿宋_GB2312"/>
                <w:sz w:val="16"/>
                <w:color w:val="000000"/>
              </w:rPr>
              <w:t>2026年，站在“十四五”收官、“十五五”谋篇的新起点上，秦岭生态保护进入“高质量、可持续、全民化”的新阶段。为系统总结西安五年来在秦岭生态保护中的制度创新、生态修复、文化挖掘、全民教育等方面的“转变”，形成“秦岭之变”中国叙事。拟策划开展“守护秦岭家园”网上主题宣传系列活动。</w:t>
            </w:r>
          </w:p>
          <w:p>
            <w:pPr>
              <w:pStyle w:val="null3"/>
              <w:ind w:firstLine="482"/>
              <w:jc w:val="both"/>
            </w:pPr>
            <w:r>
              <w:rPr>
                <w:rFonts w:ascii="仿宋_GB2312" w:hAnsi="仿宋_GB2312" w:cs="仿宋_GB2312" w:eastAsia="仿宋_GB2312"/>
                <w:sz w:val="16"/>
                <w:b/>
                <w:color w:val="000000"/>
              </w:rPr>
              <w:t>二、服务内容（包括工作区域、工作内容等）</w:t>
            </w:r>
          </w:p>
          <w:p>
            <w:pPr>
              <w:pStyle w:val="null3"/>
              <w:ind w:firstLine="480"/>
              <w:jc w:val="both"/>
            </w:pPr>
            <w:r>
              <w:rPr>
                <w:rFonts w:ascii="仿宋_GB2312" w:hAnsi="仿宋_GB2312" w:cs="仿宋_GB2312" w:eastAsia="仿宋_GB2312"/>
                <w:sz w:val="16"/>
                <w:color w:val="000000"/>
              </w:rPr>
              <w:t>（一）工作区域：采购人指定地点</w:t>
            </w:r>
          </w:p>
          <w:p>
            <w:pPr>
              <w:pStyle w:val="null3"/>
              <w:ind w:firstLine="480"/>
              <w:jc w:val="both"/>
            </w:pPr>
            <w:r>
              <w:rPr>
                <w:rFonts w:ascii="仿宋_GB2312" w:hAnsi="仿宋_GB2312" w:cs="仿宋_GB2312" w:eastAsia="仿宋_GB2312"/>
                <w:sz w:val="16"/>
                <w:color w:val="000000"/>
              </w:rPr>
              <w:t>（二）工作内容：围绕西安市委、市政府中心工作，紧扣西安市委市政府</w:t>
            </w:r>
            <w:r>
              <w:rPr>
                <w:rFonts w:ascii="仿宋_GB2312" w:hAnsi="仿宋_GB2312" w:cs="仿宋_GB2312" w:eastAsia="仿宋_GB2312"/>
                <w:sz w:val="16"/>
                <w:color w:val="000000"/>
              </w:rPr>
              <w:t>“创新推进中国式现代化西安实践”总体部署，开展“守护秦岭家园”系列主题活动。以“把秦岭讲给你听”等群众性宣教传播活动培育全民生态自觉；联动中央级媒体资源构建“秦岭守护者联盟”，围绕“网络常态处置+实地互动沉浸式传播+合规线路价值引导”三维体系，系统展示西安秦岭生态环境保护从“整治攻坚”迈向“系统治理、长效守护”的转型成效。</w:t>
            </w:r>
          </w:p>
          <w:p>
            <w:pPr>
              <w:pStyle w:val="null3"/>
              <w:ind w:firstLine="480"/>
              <w:jc w:val="both"/>
            </w:pPr>
            <w:r>
              <w:rPr>
                <w:rFonts w:ascii="仿宋_GB2312" w:hAnsi="仿宋_GB2312" w:cs="仿宋_GB2312" w:eastAsia="仿宋_GB2312"/>
                <w:sz w:val="16"/>
                <w:color w:val="000000"/>
              </w:rPr>
              <w:t>（三）项目内容：</w:t>
            </w:r>
          </w:p>
          <w:p>
            <w:pPr>
              <w:pStyle w:val="null3"/>
              <w:ind w:firstLine="480"/>
            </w:pPr>
            <w:r>
              <w:rPr>
                <w:rFonts w:ascii="仿宋_GB2312" w:hAnsi="仿宋_GB2312" w:cs="仿宋_GB2312" w:eastAsia="仿宋_GB2312"/>
                <w:sz w:val="16"/>
                <w:color w:val="000000"/>
              </w:rPr>
              <w:t>1.</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——第二届</w:t>
            </w:r>
            <w:r>
              <w:rPr>
                <w:rFonts w:ascii="仿宋_GB2312" w:hAnsi="仿宋_GB2312" w:cs="仿宋_GB2312" w:eastAsia="仿宋_GB2312"/>
                <w:sz w:val="16"/>
                <w:color w:val="000000"/>
              </w:rPr>
              <w:t>“</w:t>
            </w:r>
            <w:r>
              <w:rPr>
                <w:rFonts w:ascii="仿宋_GB2312" w:hAnsi="仿宋_GB2312" w:cs="仿宋_GB2312" w:eastAsia="仿宋_GB2312"/>
                <w:sz w:val="16"/>
                <w:color w:val="000000"/>
              </w:rPr>
              <w:t>秦岭讲给你听</w:t>
            </w:r>
            <w:r>
              <w:rPr>
                <w:rFonts w:ascii="仿宋_GB2312" w:hAnsi="仿宋_GB2312" w:cs="仿宋_GB2312" w:eastAsia="仿宋_GB2312"/>
                <w:sz w:val="16"/>
                <w:color w:val="000000"/>
              </w:rPr>
              <w:t>”</w:t>
            </w:r>
            <w:r>
              <w:rPr>
                <w:rFonts w:ascii="仿宋_GB2312" w:hAnsi="仿宋_GB2312" w:cs="仿宋_GB2312" w:eastAsia="仿宋_GB2312"/>
                <w:sz w:val="16"/>
                <w:color w:val="000000"/>
              </w:rPr>
              <w:t>青少年主题演讲大赛</w:t>
            </w:r>
          </w:p>
          <w:p>
            <w:pPr>
              <w:pStyle w:val="null3"/>
              <w:ind w:firstLine="480"/>
            </w:pPr>
            <w:r>
              <w:rPr>
                <w:rFonts w:ascii="仿宋_GB2312" w:hAnsi="仿宋_GB2312" w:cs="仿宋_GB2312" w:eastAsia="仿宋_GB2312"/>
                <w:sz w:val="16"/>
                <w:color w:val="000000"/>
              </w:rPr>
              <w:t>在</w:t>
            </w:r>
            <w:r>
              <w:rPr>
                <w:rFonts w:ascii="仿宋_GB2312" w:hAnsi="仿宋_GB2312" w:cs="仿宋_GB2312" w:eastAsia="仿宋_GB2312"/>
                <w:sz w:val="16"/>
                <w:color w:val="000000"/>
              </w:rPr>
              <w:t>2025年首届“把秦岭讲给你听”青少年主题短视频展播活动</w:t>
            </w:r>
            <w:r>
              <w:rPr>
                <w:rFonts w:ascii="仿宋_GB2312" w:hAnsi="仿宋_GB2312" w:cs="仿宋_GB2312" w:eastAsia="仿宋_GB2312"/>
                <w:sz w:val="16"/>
                <w:color w:val="000000"/>
              </w:rPr>
              <w:t>经验基础上</w:t>
            </w:r>
            <w:r>
              <w:rPr>
                <w:rFonts w:ascii="仿宋_GB2312" w:hAnsi="仿宋_GB2312" w:cs="仿宋_GB2312" w:eastAsia="仿宋_GB2312"/>
                <w:sz w:val="16"/>
                <w:color w:val="000000"/>
              </w:rPr>
              <w:t>，根据市委市政府最新工作方向，持续围绕</w:t>
            </w:r>
            <w:r>
              <w:rPr>
                <w:rFonts w:ascii="仿宋_GB2312" w:hAnsi="仿宋_GB2312" w:cs="仿宋_GB2312" w:eastAsia="仿宋_GB2312"/>
                <w:sz w:val="16"/>
                <w:color w:val="000000"/>
              </w:rPr>
              <w:t>“爱鸟护鸟”或更换其他小切口主题深入开展青少年主题演讲比赛。结合首届</w:t>
            </w:r>
            <w:r>
              <w:rPr>
                <w:rFonts w:ascii="仿宋_GB2312" w:hAnsi="仿宋_GB2312" w:cs="仿宋_GB2312" w:eastAsia="仿宋_GB2312"/>
                <w:sz w:val="16"/>
                <w:color w:val="000000"/>
              </w:rPr>
              <w:t>成果，</w:t>
            </w:r>
            <w:r>
              <w:rPr>
                <w:rFonts w:ascii="仿宋_GB2312" w:hAnsi="仿宋_GB2312" w:cs="仿宋_GB2312" w:eastAsia="仿宋_GB2312"/>
                <w:sz w:val="16"/>
                <w:color w:val="000000"/>
              </w:rPr>
              <w:t>将</w:t>
            </w:r>
            <w:r>
              <w:rPr>
                <w:rFonts w:ascii="仿宋_GB2312" w:hAnsi="仿宋_GB2312" w:cs="仿宋_GB2312" w:eastAsia="仿宋_GB2312"/>
                <w:sz w:val="16"/>
                <w:color w:val="000000"/>
              </w:rPr>
              <w:t>活动从线上向线下拓展</w:t>
            </w:r>
            <w:r>
              <w:rPr>
                <w:rFonts w:ascii="仿宋_GB2312" w:hAnsi="仿宋_GB2312" w:cs="仿宋_GB2312" w:eastAsia="仿宋_GB2312"/>
                <w:sz w:val="16"/>
                <w:color w:val="000000"/>
              </w:rPr>
              <w:t>。</w:t>
            </w:r>
          </w:p>
          <w:p>
            <w:pPr>
              <w:pStyle w:val="null3"/>
              <w:ind w:firstLine="480"/>
            </w:pPr>
            <w:r>
              <w:rPr>
                <w:rFonts w:ascii="仿宋_GB2312" w:hAnsi="仿宋_GB2312" w:cs="仿宋_GB2312" w:eastAsia="仿宋_GB2312"/>
                <w:sz w:val="16"/>
                <w:color w:val="000000"/>
              </w:rPr>
              <w:t>2.</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——生态科学家进校园</w:t>
            </w:r>
          </w:p>
          <w:p>
            <w:pPr>
              <w:pStyle w:val="null3"/>
              <w:ind w:firstLine="480"/>
            </w:pPr>
            <w:r>
              <w:rPr>
                <w:rFonts w:ascii="仿宋_GB2312" w:hAnsi="仿宋_GB2312" w:cs="仿宋_GB2312" w:eastAsia="仿宋_GB2312"/>
                <w:sz w:val="16"/>
                <w:color w:val="000000"/>
              </w:rPr>
              <w:t>2026年全年在全市遴选10所中小学校，开展10场科普进校园公益活动。积极宣传践行生态文明思想、深化基础教育段生态文明教育、宣传</w:t>
            </w:r>
            <w:r>
              <w:rPr>
                <w:rFonts w:ascii="仿宋_GB2312" w:hAnsi="仿宋_GB2312" w:cs="仿宋_GB2312" w:eastAsia="仿宋_GB2312"/>
                <w:sz w:val="16"/>
                <w:color w:val="000000"/>
              </w:rPr>
              <w:t>推介</w:t>
            </w:r>
            <w:r>
              <w:rPr>
                <w:rFonts w:ascii="仿宋_GB2312" w:hAnsi="仿宋_GB2312" w:cs="仿宋_GB2312" w:eastAsia="仿宋_GB2312"/>
                <w:sz w:val="16"/>
                <w:color w:val="000000"/>
              </w:rPr>
              <w:t>秦岭生态环境保护政策法规、相关科普知识。</w:t>
            </w:r>
          </w:p>
          <w:p>
            <w:pPr>
              <w:pStyle w:val="null3"/>
              <w:ind w:firstLine="480"/>
            </w:pPr>
            <w:r>
              <w:rPr>
                <w:rFonts w:ascii="仿宋_GB2312" w:hAnsi="仿宋_GB2312" w:cs="仿宋_GB2312" w:eastAsia="仿宋_GB2312"/>
                <w:sz w:val="16"/>
                <w:color w:val="000000"/>
              </w:rPr>
              <w:t>3.</w:t>
            </w:r>
            <w:r>
              <w:rPr>
                <w:rFonts w:ascii="仿宋_GB2312" w:hAnsi="仿宋_GB2312" w:cs="仿宋_GB2312" w:eastAsia="仿宋_GB2312"/>
                <w:sz w:val="16"/>
                <w:color w:val="000000"/>
              </w:rPr>
              <w:t>守护秦岭家园</w:t>
            </w:r>
            <w:r>
              <w:rPr>
                <w:rFonts w:ascii="仿宋_GB2312" w:hAnsi="仿宋_GB2312" w:cs="仿宋_GB2312" w:eastAsia="仿宋_GB2312"/>
                <w:sz w:val="16"/>
                <w:color w:val="000000"/>
              </w:rPr>
              <w:t>——“清</w:t>
            </w:r>
            <w:r>
              <w:rPr>
                <w:rFonts w:ascii="仿宋_GB2312" w:hAnsi="仿宋_GB2312" w:cs="仿宋_GB2312" w:eastAsia="仿宋_GB2312"/>
                <w:sz w:val="16"/>
                <w:color w:val="000000"/>
              </w:rPr>
              <w:t>·</w:t>
            </w:r>
            <w:r>
              <w:rPr>
                <w:rFonts w:ascii="仿宋_GB2312" w:hAnsi="仿宋_GB2312" w:cs="仿宋_GB2312" w:eastAsia="仿宋_GB2312"/>
                <w:sz w:val="16"/>
                <w:color w:val="000000"/>
              </w:rPr>
              <w:t>岭</w:t>
            </w:r>
            <w:r>
              <w:rPr>
                <w:rFonts w:ascii="仿宋_GB2312" w:hAnsi="仿宋_GB2312" w:cs="仿宋_GB2312" w:eastAsia="仿宋_GB2312"/>
                <w:sz w:val="16"/>
                <w:color w:val="000000"/>
              </w:rPr>
              <w:t>”绿盾计划（组建网络名人秦岭守护者联盟，并开展“守护秦岭家园文明公益行”线下活动及线上正能量传播）</w:t>
            </w:r>
          </w:p>
          <w:p>
            <w:pPr>
              <w:pStyle w:val="null3"/>
              <w:ind w:firstLine="480"/>
            </w:pPr>
            <w:r>
              <w:rPr>
                <w:rFonts w:ascii="仿宋_GB2312" w:hAnsi="仿宋_GB2312" w:cs="仿宋_GB2312" w:eastAsia="仿宋_GB2312"/>
                <w:sz w:val="16"/>
                <w:color w:val="000000"/>
              </w:rPr>
              <w:t>围绕</w:t>
            </w:r>
            <w:r>
              <w:rPr>
                <w:rFonts w:ascii="仿宋_GB2312" w:hAnsi="仿宋_GB2312" w:cs="仿宋_GB2312" w:eastAsia="仿宋_GB2312"/>
                <w:sz w:val="16"/>
                <w:color w:val="000000"/>
              </w:rPr>
              <w:t>“网络</w:t>
            </w:r>
            <w:r>
              <w:rPr>
                <w:rFonts w:ascii="仿宋_GB2312" w:hAnsi="仿宋_GB2312" w:cs="仿宋_GB2312" w:eastAsia="仿宋_GB2312"/>
                <w:sz w:val="16"/>
              </w:rPr>
              <w:t xml:space="preserve"> </w:t>
            </w:r>
            <w:r>
              <w:rPr>
                <w:rFonts w:ascii="仿宋_GB2312" w:hAnsi="仿宋_GB2312" w:cs="仿宋_GB2312" w:eastAsia="仿宋_GB2312"/>
                <w:sz w:val="16"/>
                <w:color w:val="000000"/>
              </w:rPr>
              <w:t>常态处置</w:t>
            </w:r>
            <w:r>
              <w:rPr>
                <w:rFonts w:ascii="仿宋_GB2312" w:hAnsi="仿宋_GB2312" w:cs="仿宋_GB2312" w:eastAsia="仿宋_GB2312"/>
                <w:sz w:val="16"/>
                <w:color w:val="000000"/>
              </w:rPr>
              <w:t>+实地互动沉浸传播+合规线路价值引导”三维体系组建网络大V矩阵。联动微博大V矩阵、秦岭48峪口实地活动、秦岭</w:t>
            </w:r>
            <w:r>
              <w:rPr>
                <w:rFonts w:ascii="仿宋_GB2312" w:hAnsi="仿宋_GB2312" w:cs="仿宋_GB2312" w:eastAsia="仿宋_GB2312"/>
                <w:sz w:val="16"/>
                <w:color w:val="000000"/>
              </w:rPr>
              <w:t>登山</w:t>
            </w:r>
            <w:r>
              <w:rPr>
                <w:rFonts w:ascii="仿宋_GB2312" w:hAnsi="仿宋_GB2312" w:cs="仿宋_GB2312" w:eastAsia="仿宋_GB2312"/>
                <w:sz w:val="16"/>
                <w:color w:val="000000"/>
              </w:rPr>
              <w:t>线路规划三大板块，构建</w:t>
            </w:r>
            <w:r>
              <w:rPr>
                <w:rFonts w:ascii="仿宋_GB2312" w:hAnsi="仿宋_GB2312" w:cs="仿宋_GB2312" w:eastAsia="仿宋_GB2312"/>
                <w:sz w:val="16"/>
                <w:color w:val="000000"/>
              </w:rPr>
              <w:t>“内容传播-情感共鸣-行为践行”全链路宣传</w:t>
            </w:r>
            <w:r>
              <w:rPr>
                <w:rFonts w:ascii="仿宋_GB2312" w:hAnsi="仿宋_GB2312" w:cs="仿宋_GB2312" w:eastAsia="仿宋_GB2312"/>
                <w:sz w:val="16"/>
                <w:color w:val="000000"/>
              </w:rPr>
              <w:t>引导，扩大秦岭保护宣传音量声量。</w:t>
            </w:r>
          </w:p>
          <w:p>
            <w:pPr>
              <w:pStyle w:val="null3"/>
              <w:ind w:left="420"/>
            </w:pPr>
            <w:r>
              <w:rPr>
                <w:rFonts w:ascii="仿宋_GB2312" w:hAnsi="仿宋_GB2312" w:cs="仿宋_GB2312" w:eastAsia="仿宋_GB2312"/>
                <w:sz w:val="16"/>
                <w:color w:val="000000"/>
              </w:rPr>
              <w:t>4.融媒专题搭建及广告投放</w:t>
            </w:r>
          </w:p>
          <w:p>
            <w:pPr>
              <w:pStyle w:val="null3"/>
            </w:pPr>
            <w:r>
              <w:rPr>
                <w:rFonts w:ascii="仿宋_GB2312" w:hAnsi="仿宋_GB2312" w:cs="仿宋_GB2312" w:eastAsia="仿宋_GB2312"/>
                <w:sz w:val="16"/>
                <w:color w:val="000000"/>
              </w:rPr>
              <w:t>在中央级网络媒体制作推广</w:t>
            </w:r>
            <w:r>
              <w:rPr>
                <w:rFonts w:ascii="仿宋_GB2312" w:hAnsi="仿宋_GB2312" w:cs="仿宋_GB2312" w:eastAsia="仿宋_GB2312"/>
                <w:sz w:val="16"/>
                <w:color w:val="000000"/>
              </w:rPr>
              <w:t>“牢记国之大者 当好秦岭卫士”融媒专题，通过央媒、主流网络媒体、新媒体等平台资源，生产一批有影响力高质量的融媒体产品、网上主题宣传，为秦岭生态环境保护营造良好的网上舆论氛围，增强文化自信与生态认同，推动秦岭生态成果“走出去”。</w:t>
            </w:r>
          </w:p>
          <w:p>
            <w:pPr>
              <w:pStyle w:val="null3"/>
              <w:jc w:val="both"/>
            </w:pPr>
            <w:r>
              <w:rPr>
                <w:rFonts w:ascii="仿宋_GB2312" w:hAnsi="仿宋_GB2312" w:cs="仿宋_GB2312" w:eastAsia="仿宋_GB2312"/>
                <w:sz w:val="16"/>
                <w:b/>
                <w:color w:val="000000"/>
              </w:rPr>
              <w:t>三、商务要求</w:t>
            </w:r>
          </w:p>
          <w:p>
            <w:pPr>
              <w:pStyle w:val="null3"/>
              <w:ind w:firstLine="480"/>
            </w:pPr>
            <w:r>
              <w:rPr>
                <w:rFonts w:ascii="仿宋_GB2312" w:hAnsi="仿宋_GB2312" w:cs="仿宋_GB2312" w:eastAsia="仿宋_GB2312"/>
                <w:sz w:val="16"/>
                <w:color w:val="000000"/>
              </w:rPr>
              <w:t>（一）采购时间安排：部务会审议通过后按政府采购程序执行。</w:t>
            </w:r>
          </w:p>
          <w:p>
            <w:pPr>
              <w:pStyle w:val="null3"/>
              <w:ind w:firstLine="480"/>
            </w:pPr>
            <w:r>
              <w:rPr>
                <w:rFonts w:ascii="仿宋_GB2312" w:hAnsi="仿宋_GB2312" w:cs="仿宋_GB2312" w:eastAsia="仿宋_GB2312"/>
                <w:sz w:val="16"/>
                <w:color w:val="000000"/>
              </w:rPr>
              <w:t>（二）实施进度安排：合同签订之日起至项目执行结束。</w:t>
            </w:r>
          </w:p>
          <w:p>
            <w:pPr>
              <w:pStyle w:val="null3"/>
              <w:ind w:firstLine="480"/>
            </w:pPr>
            <w:r>
              <w:rPr>
                <w:rFonts w:ascii="仿宋_GB2312" w:hAnsi="仿宋_GB2312" w:cs="仿宋_GB2312" w:eastAsia="仿宋_GB2312"/>
                <w:sz w:val="16"/>
                <w:color w:val="000000"/>
              </w:rPr>
              <w:t>（三）付款计划：服务费用分贰次支付。合同签订且供应商开具增值税发票后的</w:t>
            </w:r>
            <w:r>
              <w:rPr>
                <w:rFonts w:ascii="仿宋_GB2312" w:hAnsi="仿宋_GB2312" w:cs="仿宋_GB2312" w:eastAsia="仿宋_GB2312"/>
                <w:sz w:val="16"/>
                <w:color w:val="000000"/>
              </w:rPr>
              <w:t>30个工作日内，以银行转账方式向其支付合同总费用70%。项目结束后，供应商出具结项报告，验收完成后30个工作日内，付清30%尾款。</w:t>
            </w:r>
          </w:p>
          <w:p>
            <w:pPr>
              <w:pStyle w:val="null3"/>
              <w:ind w:firstLine="480"/>
            </w:pPr>
            <w:r>
              <w:rPr>
                <w:rFonts w:ascii="仿宋_GB2312" w:hAnsi="仿宋_GB2312" w:cs="仿宋_GB2312" w:eastAsia="仿宋_GB2312"/>
                <w:sz w:val="16"/>
                <w:color w:val="000000"/>
              </w:rPr>
              <w:t>（四）验收条件：完成合同约定的各类事项。</w:t>
            </w:r>
          </w:p>
          <w:p>
            <w:pPr>
              <w:pStyle w:val="null3"/>
              <w:ind w:firstLine="482"/>
              <w:jc w:val="both"/>
            </w:pPr>
            <w:r>
              <w:rPr>
                <w:rFonts w:ascii="仿宋_GB2312" w:hAnsi="仿宋_GB2312" w:cs="仿宋_GB2312" w:eastAsia="仿宋_GB2312"/>
                <w:sz w:val="16"/>
                <w:b/>
                <w:color w:val="000000"/>
              </w:rPr>
              <w:t>四、服务清单</w:t>
            </w:r>
          </w:p>
          <w:tbl>
            <w:tblPr>
              <w:tblBorders>
                <w:top w:val="none" w:color="000000" w:sz="4"/>
                <w:left w:val="none" w:color="000000" w:sz="4"/>
                <w:bottom w:val="none" w:color="000000" w:sz="4"/>
                <w:right w:val="none" w:color="000000" w:sz="4"/>
                <w:insideH w:val="none"/>
                <w:insideV w:val="none"/>
              </w:tblBorders>
            </w:tblPr>
            <w:tblGrid>
              <w:gridCol w:w="342"/>
              <w:gridCol w:w="160"/>
              <w:gridCol w:w="963"/>
              <w:gridCol w:w="376"/>
              <w:gridCol w:w="293"/>
              <w:gridCol w:w="418"/>
            </w:tblGrid>
            <w:tr>
              <w:tc>
                <w:tcPr>
                  <w:tcW w:type="dxa" w:w="5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服务类别</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项目</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单价</w:t>
                  </w:r>
                </w:p>
                <w:p>
                  <w:pPr>
                    <w:pStyle w:val="null3"/>
                    <w:jc w:val="center"/>
                  </w:pPr>
                  <w:r>
                    <w:rPr>
                      <w:rFonts w:ascii="仿宋_GB2312" w:hAnsi="仿宋_GB2312" w:cs="仿宋_GB2312" w:eastAsia="仿宋_GB2312"/>
                      <w:sz w:val="16"/>
                      <w:color w:val="000000"/>
                    </w:rPr>
                    <w:t>（元）</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数量</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服务费用（元）</w:t>
                  </w:r>
                </w:p>
              </w:tc>
            </w:tr>
            <w:tr>
              <w:tc>
                <w:tcPr>
                  <w:tcW w:type="dxa" w:w="50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融媒宣传</w:t>
                  </w:r>
                </w:p>
                <w:p>
                  <w:pPr>
                    <w:pStyle w:val="null3"/>
                    <w:jc w:val="center"/>
                  </w:pPr>
                  <w:r>
                    <w:rPr>
                      <w:rFonts w:ascii="仿宋_GB2312" w:hAnsi="仿宋_GB2312" w:cs="仿宋_GB2312" w:eastAsia="仿宋_GB2312"/>
                      <w:sz w:val="16"/>
                      <w:color w:val="000000"/>
                    </w:rPr>
                    <w:t>及传播服务</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主流网络媒体专题搭建</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主流网络媒体硬广投放</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r>
                    <w:rPr>
                      <w:rFonts w:ascii="仿宋_GB2312" w:hAnsi="仿宋_GB2312" w:cs="仿宋_GB2312" w:eastAsia="仿宋_GB2312"/>
                      <w:sz w:val="16"/>
                      <w:color w:val="000000"/>
                    </w:rPr>
                    <w:t>/</w:t>
                  </w:r>
                  <w:r>
                    <w:rPr>
                      <w:rFonts w:ascii="仿宋_GB2312" w:hAnsi="仿宋_GB2312" w:cs="仿宋_GB2312" w:eastAsia="仿宋_GB2312"/>
                      <w:sz w:val="16"/>
                      <w:color w:val="000000"/>
                    </w:rPr>
                    <w:t>月</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r>
                    <w:rPr>
                      <w:rFonts w:ascii="仿宋_GB2312" w:hAnsi="仿宋_GB2312" w:cs="仿宋_GB2312" w:eastAsia="仿宋_GB2312"/>
                      <w:sz w:val="16"/>
                      <w:color w:val="000000"/>
                    </w:rPr>
                    <w:t>万</w:t>
                  </w:r>
                </w:p>
              </w:tc>
            </w:tr>
            <w:tr>
              <w:tc>
                <w:tcPr>
                  <w:tcW w:type="dxa" w:w="50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“守护秦岭家园”</w:t>
                  </w:r>
                </w:p>
                <w:p>
                  <w:pPr>
                    <w:pStyle w:val="null3"/>
                    <w:jc w:val="center"/>
                  </w:pPr>
                  <w:r>
                    <w:rPr>
                      <w:rFonts w:ascii="仿宋_GB2312" w:hAnsi="仿宋_GB2312" w:cs="仿宋_GB2312" w:eastAsia="仿宋_GB2312"/>
                      <w:sz w:val="16"/>
                      <w:color w:val="000000"/>
                    </w:rPr>
                    <w:t>系列主题活动</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第二届</w:t>
                  </w:r>
                  <w:r>
                    <w:rPr>
                      <w:rFonts w:ascii="仿宋_GB2312" w:hAnsi="仿宋_GB2312" w:cs="仿宋_GB2312" w:eastAsia="仿宋_GB2312"/>
                      <w:sz w:val="16"/>
                      <w:color w:val="000000"/>
                    </w:rPr>
                    <w:t>“把秦岭讲给你听”青少年主题演讲比赛</w:t>
                  </w:r>
                </w:p>
                <w:p>
                  <w:pPr>
                    <w:pStyle w:val="null3"/>
                    <w:jc w:val="center"/>
                  </w:pPr>
                  <w:r>
                    <w:rPr>
                      <w:rFonts w:ascii="仿宋_GB2312" w:hAnsi="仿宋_GB2312" w:cs="仿宋_GB2312" w:eastAsia="仿宋_GB2312"/>
                      <w:sz w:val="16"/>
                      <w:color w:val="000000"/>
                    </w:rPr>
                    <w:t>含全网传播、表彰物料</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场</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秦岭保护科普进校园活动</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r>
                    <w:rPr>
                      <w:rFonts w:ascii="仿宋_GB2312" w:hAnsi="仿宋_GB2312" w:cs="仿宋_GB2312" w:eastAsia="仿宋_GB2312"/>
                      <w:sz w:val="16"/>
                      <w:color w:val="000000"/>
                    </w:rPr>
                    <w:t>场</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r>
                    <w:rPr>
                      <w:rFonts w:ascii="仿宋_GB2312" w:hAnsi="仿宋_GB2312" w:cs="仿宋_GB2312" w:eastAsia="仿宋_GB2312"/>
                      <w:sz w:val="16"/>
                      <w:color w:val="000000"/>
                    </w:rPr>
                    <w:t>万</w:t>
                  </w:r>
                </w:p>
              </w:tc>
            </w:tr>
            <w:tr>
              <w:tc>
                <w:tcPr>
                  <w:tcW w:type="dxa" w:w="502"/>
                  <w:gridSpan w:val="2"/>
                  <w:vMerge/>
                  <w:tcBorders>
                    <w:top w:val="none" w:color="000000" w:sz="4"/>
                    <w:left w:val="single" w:color="000000" w:sz="4"/>
                    <w:bottom w:val="single" w:color="000000" w:sz="4"/>
                    <w:right w:val="single" w:color="000000" w:sz="4"/>
                  </w:tcBorders>
                </w:tcP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“清</w:t>
                  </w:r>
                  <w:r>
                    <w:rPr>
                      <w:rFonts w:ascii="仿宋_GB2312" w:hAnsi="仿宋_GB2312" w:cs="仿宋_GB2312" w:eastAsia="仿宋_GB2312"/>
                      <w:sz w:val="16"/>
                    </w:rPr>
                    <w:t xml:space="preserve"> </w:t>
                  </w:r>
                  <w:r>
                    <w:rPr>
                      <w:rFonts w:ascii="仿宋_GB2312" w:hAnsi="仿宋_GB2312" w:cs="仿宋_GB2312" w:eastAsia="仿宋_GB2312"/>
                      <w:sz w:val="16"/>
                      <w:color w:val="000000"/>
                    </w:rPr>
                    <w:t>▪</w:t>
                  </w:r>
                  <w:r>
                    <w:rPr>
                      <w:rFonts w:ascii="仿宋_GB2312" w:hAnsi="仿宋_GB2312" w:cs="仿宋_GB2312" w:eastAsia="仿宋_GB2312"/>
                      <w:sz w:val="16"/>
                      <w:color w:val="000000"/>
                    </w:rPr>
                    <w:t>岭</w:t>
                  </w:r>
                  <w:r>
                    <w:rPr>
                      <w:rFonts w:ascii="仿宋_GB2312" w:hAnsi="仿宋_GB2312" w:cs="仿宋_GB2312" w:eastAsia="仿宋_GB2312"/>
                      <w:sz w:val="16"/>
                      <w:color w:val="000000"/>
                    </w:rPr>
                    <w:t>”绿盾计划</w:t>
                  </w:r>
                </w:p>
                <w:p>
                  <w:pPr>
                    <w:pStyle w:val="null3"/>
                  </w:pPr>
                  <w:r>
                    <w:rPr>
                      <w:rFonts w:ascii="仿宋_GB2312" w:hAnsi="仿宋_GB2312" w:cs="仿宋_GB2312" w:eastAsia="仿宋_GB2312"/>
                      <w:sz w:val="16"/>
                      <w:color w:val="000000"/>
                    </w:rPr>
                    <w:t>（网络名人守护者联盟）</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r>
                    <w:rPr>
                      <w:rFonts w:ascii="仿宋_GB2312" w:hAnsi="仿宋_GB2312" w:cs="仿宋_GB2312" w:eastAsia="仿宋_GB2312"/>
                      <w:sz w:val="16"/>
                      <w:color w:val="000000"/>
                    </w:rPr>
                    <w:t>个</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r>
                    <w:rPr>
                      <w:rFonts w:ascii="仿宋_GB2312" w:hAnsi="仿宋_GB2312" w:cs="仿宋_GB2312" w:eastAsia="仿宋_GB2312"/>
                      <w:sz w:val="16"/>
                      <w:color w:val="000000"/>
                    </w:rPr>
                    <w:t>万</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color w:val="000000"/>
                    </w:rPr>
                    <w:t>总预算</w:t>
                  </w:r>
                </w:p>
              </w:tc>
              <w:tc>
                <w:tcPr>
                  <w:tcW w:type="dxa" w:w="221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r>
                    <w:rPr>
                      <w:rFonts w:ascii="仿宋_GB2312" w:hAnsi="仿宋_GB2312" w:cs="仿宋_GB2312" w:eastAsia="仿宋_GB2312"/>
                      <w:sz w:val="16"/>
                      <w:color w:val="000000"/>
                    </w:rPr>
                    <w:t>万元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合同签订且供应商开具增值税发票后的30个工作日内，以银行转账方式向其支付合同总费用70%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项目结束后，供应商出具结项报告，验收完成后30个工作日内，付清30%尾款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 3、乙方提供的服务不符合本项目相关文件和本合同规定的，甲方有权单方解除合同，并且乙方须向甲方支付本合同总价款30%的违约金。 4、乙方未能按照本合同约定时间提供服务或完成约定的项目服务内容的，从逾期之日起每日按本合同总价款0.05%的数额向甲方支付违约金；逾期90日以上的，甲方有权终止合同，由此造成的甲方经济损失由乙方承担。 5、主要技术指标未达标视为根本违约，甲方有权扣减50%合同价款。 6、供应商违反保密义务或侵犯他人权利造成采购人损失的，应承担全部法律责任并赔偿甲方因此遭受的全部损失。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1.详见合同。 2.付款条件说明（上述“3.3.5.支付约定”付款格式为制式模板，以此处为准）：合同签订且供应商开具增值税发票后的30个工作日内，以银行转账方式向其支付合同总费用70%。项目结束后，供应商出具结项报告，验收完成后30个工作日内，付清30%尾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5.资格证明文件.docx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5.资格证明文件.docx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2.法定代表人证明书及法定代表人授权书.docx 3.服务需求响应表.docx 4.商务偏离表.docx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8.磋商响应单位承诺书.docx 2.法定代表人证明书及法定代表人授权书.docx 5.资格证明文件.docx 3.服务需求响应表.docx 4.商务偏离表.docx 标的清单 报价表 1.分项报价明细表.docx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8.磋商响应单位承诺书.docx 2.法定代表人证明书及法定代表人授权书.docx 5.资格证明文件.docx 3.服务需求响应表.docx 4.商务偏离表.docx 标的清单 报价表 1.分项报价明细表.docx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整体服务方案包括本项目各阶段的组织协调工作、服务标准、服务流程、服务内容、服务响应等。 1.方案完整、详尽、计划合理、可行、满足项目需求针对性强的，得10分。 2.计划方案完整性、合理性、可行性较强，较好的满足项目需求，得8分； 3.计划方案完整性、合理性、可行性基本满足项目需求，得6分； 4.计划方案基本满足本次活动的要求，可行性一般，得4分； 5.计划方案宽泛内容一般可行性差，得2分；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宣传 方案</w:t>
            </w:r>
          </w:p>
        </w:tc>
        <w:tc>
          <w:tcPr>
            <w:tcW w:type="dxa" w:w="2492"/>
          </w:tcPr>
          <w:p>
            <w:pPr>
              <w:pStyle w:val="null3"/>
            </w:pPr>
            <w:r>
              <w:rPr>
                <w:rFonts w:ascii="仿宋_GB2312" w:hAnsi="仿宋_GB2312" w:cs="仿宋_GB2312" w:eastAsia="仿宋_GB2312"/>
              </w:rPr>
              <w:t>供应商根据采购内容在各大主流媒体对活动做好宣传（包括但不限于宣传平台、宣传覆盖面、二次传播途径等）能够全方位、多手段、多方式展示秦岭故事，有效传播好秦岭保护法律法规，从而在一定程度上扩大传播力、影响力、覆盖面。 1.宣传方案完整、详尽、计划合理、可行、满足项目需求针对性强的，得10分。 2.宣传方案完整性、合理性、可行性较强，较好的满足项目需求，得8分； 3.宣传方案完整性、合理性、可行性基本满足项目需求，得6分； 4.宣传方案基本满足本次活动的要求，可行性一般，得4分； 5.宣传方案一般，可行性差，得2分；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日常 运营</w:t>
            </w:r>
          </w:p>
        </w:tc>
        <w:tc>
          <w:tcPr>
            <w:tcW w:type="dxa" w:w="2492"/>
          </w:tcPr>
          <w:p>
            <w:pPr>
              <w:pStyle w:val="null3"/>
            </w:pPr>
            <w:r>
              <w:rPr>
                <w:rFonts w:ascii="仿宋_GB2312" w:hAnsi="仿宋_GB2312" w:cs="仿宋_GB2312" w:eastAsia="仿宋_GB2312"/>
              </w:rPr>
              <w:t>根据采购内容完成本项目的融媒体专题搭建及宣传标语广告等工作。 1.方案完整、详尽、合理、可行、满足项目需求针对性强的，得8分； 2.方案完整性、合理性、可行性较强，较好的满足项目需求，得6分； 3.方案基本满足本次活动的要求，可行性一般，得4分； 4.方案宽泛内容一般，可行性差，得2分；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供应商针对本项目提供服务团队的人员配备方案具有专业的执行团队（包括但不限于项目负责人、策划、宣传、管理等岗位设置），提供人员证明材料（不限于毕业证或学历证、资格证等相关证明材料复印件）。 1.人员配备合理，专业性强，经验丰富，职责分工明确，得10分； 2.人员配备较合理，专业性较强，经验较丰富，职责分工较明确，得8分； 3.人员配备基本合理，专业性经验基本丰富，职责分工基本明确，得6分； 4.人员配备一般、专业性一般，经验欠缺，职责分工一般，得4分； 5.人员配备合理差、专业性差，职责分工不明确，得2分；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活动策划方案</w:t>
            </w:r>
          </w:p>
        </w:tc>
        <w:tc>
          <w:tcPr>
            <w:tcW w:type="dxa" w:w="2492"/>
          </w:tcPr>
          <w:p>
            <w:pPr>
              <w:pStyle w:val="null3"/>
            </w:pPr>
            <w:r>
              <w:rPr>
                <w:rFonts w:ascii="仿宋_GB2312" w:hAnsi="仿宋_GB2312" w:cs="仿宋_GB2312" w:eastAsia="仿宋_GB2312"/>
              </w:rPr>
              <w:t>供应商根据活动内容提供活动策划方案。 1.供应商提供的方案详细清楚，内容充分，策划到位，充分满足项目推广效果与总体目标，得6分； 2.供应商提供的策划方案比较详细；工作方式比较有条理性，基本满足项目推广效果要求及总体目标，得4分； 3.供应商提供的方案措施内容粗糙，策划方案空洞，工作方式没有条理性，不能满足项目推广效果要求及总体目标，得2分；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根据完成本项目须提供的相关物品（包括主背景板、会场导视牌、舞台及配套地毯，同时配备相应尺寸及规格的舞台踏步、演讲台、LED高清屏幕、灯光、音响等设备）明确投入计划。 1.材料设备配备齐全，质量可靠，充分满足服务需求，有备品备件，得6分； 2.材料设备配备基本齐全，质量基本可靠，满足服务需求，得4分； 3.材料设备配备紧张，基本满足服务需求，得2分。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提供针对本项目的服务质量保证方案（包括：健全的质量控制体系、针对本项目的质量把控方案、质量保证措施，并有质量目标无法实现时的认罚承诺等）。 1.方案内容全面 、可行、针对性强，得6分； 2.方案内容较全面、可行，有一定的针对性，得4分； 3.方案内容简单笼统或不全面，无针对性，得2分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满足用户的服务要求，对完成项目所涉及的货物、服务等方面具有详细的服务承诺； 1.服务承诺完善，内容详细、科学合理、针对性强，得6分； 2.服务承诺基本完善，保证措施内容不够详细，有一定针对性，得4分； 3.服务承诺简单笼统，保证措施内容粗略，针对性欠缺，得2分；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 1.进度目标及保障措施详尽，完全满足采购人需求，能够保证服务，及时协调解决各类问题，得6分； 2.进度目标及保障措施基本完善，基本满足采购人需求，保证服务，基本能协调解决各类问题，得4分； 3.进度目标及保障措施简略，部分满足采购人需求，及协调解决各类问题的能力不强，得2分；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安全保障方案：针对本项目具体情况，供应商提供可靠的安全保障方案（包括但不限于服务中的网络信息安全、活动现场治安、 消防、观众进退场等）。 1.方案内容完善，措施针对性、合理性、可行性强，得6分； 2.方案内容基本完善，措施有一定的合理性、可行性，得4分； 3.方案内容简单笼统，措施缺乏针对性，得2分；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制定合理、可行的各种突发情况（包含服务中出现的突发事件、现场秩序调节、活动效果调动、停电、断网、所提供的设备及材料出现质量问题等）的应急预案。 1.应急预案内容完善，应对措施全面、可行性强、考虑充分，能够确保活动顺利开展，得6分； 2.应急预案内容基本完善，应对措施的可 行性较强，考虑得当，基本能够确保活动顺利开展，得4分； 3.应急预案内容基本完善，应对措施有一定可行性，考虑不足，得2分；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供应商自2023年1月1日起至今具有类似项目业绩，每提供1份得2分，最多得10分。 注：1、以合同协议书复印件加盖公章为准。2、时间以合同协议书签订时间为准。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 符合磋商文件规定的小型或微型企业或监狱企业或残疾人福利性单位优惠条件的投标人，价格给予10%的扣除，用扣除后的价格参与评审。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详见附件：1.分项报价明细表.docx</w:t>
      </w:r>
    </w:p>
    <w:p>
      <w:pPr>
        <w:pStyle w:val="null3"/>
        <w:ind w:firstLine="960"/>
      </w:pPr>
      <w:r>
        <w:rPr>
          <w:rFonts w:ascii="仿宋_GB2312" w:hAnsi="仿宋_GB2312" w:cs="仿宋_GB2312" w:eastAsia="仿宋_GB2312"/>
        </w:rPr>
        <w:t>详见附件：2.法定代表人证明书及法定代表人授权书.docx</w:t>
      </w:r>
    </w:p>
    <w:p>
      <w:pPr>
        <w:pStyle w:val="null3"/>
        <w:ind w:firstLine="960"/>
      </w:pPr>
      <w:r>
        <w:rPr>
          <w:rFonts w:ascii="仿宋_GB2312" w:hAnsi="仿宋_GB2312" w:cs="仿宋_GB2312" w:eastAsia="仿宋_GB2312"/>
        </w:rPr>
        <w:t>详见附件：3.服务需求响应表.docx</w:t>
      </w:r>
    </w:p>
    <w:p>
      <w:pPr>
        <w:pStyle w:val="null3"/>
        <w:ind w:firstLine="960"/>
      </w:pPr>
      <w:r>
        <w:rPr>
          <w:rFonts w:ascii="仿宋_GB2312" w:hAnsi="仿宋_GB2312" w:cs="仿宋_GB2312" w:eastAsia="仿宋_GB2312"/>
        </w:rPr>
        <w:t>详见附件：4.商务偏离表.docx</w:t>
      </w:r>
    </w:p>
    <w:p>
      <w:pPr>
        <w:pStyle w:val="null3"/>
        <w:ind w:firstLine="960"/>
      </w:pPr>
      <w:r>
        <w:rPr>
          <w:rFonts w:ascii="仿宋_GB2312" w:hAnsi="仿宋_GB2312" w:cs="仿宋_GB2312" w:eastAsia="仿宋_GB2312"/>
        </w:rPr>
        <w:t>详见附件：5.资格证明文件.docx</w:t>
      </w:r>
    </w:p>
    <w:p>
      <w:pPr>
        <w:pStyle w:val="null3"/>
        <w:ind w:firstLine="960"/>
      </w:pPr>
      <w:r>
        <w:rPr>
          <w:rFonts w:ascii="仿宋_GB2312" w:hAnsi="仿宋_GB2312" w:cs="仿宋_GB2312" w:eastAsia="仿宋_GB2312"/>
        </w:rPr>
        <w:t>详见附件：6.类似项目业绩.docx</w:t>
      </w:r>
    </w:p>
    <w:p>
      <w:pPr>
        <w:pStyle w:val="null3"/>
        <w:ind w:firstLine="960"/>
      </w:pPr>
      <w:r>
        <w:rPr>
          <w:rFonts w:ascii="仿宋_GB2312" w:hAnsi="仿宋_GB2312" w:cs="仿宋_GB2312" w:eastAsia="仿宋_GB2312"/>
        </w:rPr>
        <w:t>详见附件：7.磋商响应方案说明.docx</w:t>
      </w:r>
    </w:p>
    <w:p>
      <w:pPr>
        <w:pStyle w:val="null3"/>
        <w:ind w:firstLine="960"/>
      </w:pPr>
      <w:r>
        <w:rPr>
          <w:rFonts w:ascii="仿宋_GB2312" w:hAnsi="仿宋_GB2312" w:cs="仿宋_GB2312" w:eastAsia="仿宋_GB2312"/>
        </w:rPr>
        <w:t>详见附件：8.磋商响应单位承诺书.docx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