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版本号：XGZB260605-B02820260612001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财政云一体化系统运维服务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XGZB260605-B028</w:t>
      </w:r>
      <w:r>
        <w:br/>
      </w:r>
      <w:r>
        <w:br/>
      </w:r>
      <w:r>
        <w:br/>
      </w:r>
    </w:p>
    <w:p>
      <w:pPr>
        <w:pStyle w:val="null3"/>
        <w:jc w:val="center"/>
        <w:outlineLvl w:val="2"/>
      </w:pPr>
      <w:r>
        <w:rPr>
          <w:rFonts w:ascii="仿宋_GB2312" w:hAnsi="仿宋_GB2312" w:cs="仿宋_GB2312" w:eastAsia="仿宋_GB2312"/>
          <w:sz w:val="28"/>
          <w:b/>
        </w:rPr>
        <w:t>西安经济技术开发区财政金融局</w:t>
      </w:r>
    </w:p>
    <w:p>
      <w:pPr>
        <w:pStyle w:val="null3"/>
        <w:jc w:val="center"/>
        <w:outlineLvl w:val="2"/>
      </w:pPr>
      <w:r>
        <w:rPr>
          <w:rFonts w:ascii="仿宋_GB2312" w:hAnsi="仿宋_GB2312" w:cs="仿宋_GB2312" w:eastAsia="仿宋_GB2312"/>
          <w:sz w:val="28"/>
          <w:b/>
        </w:rPr>
        <w:t>西安兴国项目管理有限公司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西安兴国项目管理有限公司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西安经济技术开发区财政金融局</w:t>
      </w:r>
      <w:r>
        <w:rPr>
          <w:rFonts w:ascii="仿宋_GB2312" w:hAnsi="仿宋_GB2312" w:cs="仿宋_GB2312" w:eastAsia="仿宋_GB2312"/>
        </w:rPr>
        <w:t>委托，拟对</w:t>
      </w:r>
      <w:r>
        <w:rPr>
          <w:rFonts w:ascii="仿宋_GB2312" w:hAnsi="仿宋_GB2312" w:cs="仿宋_GB2312" w:eastAsia="仿宋_GB2312"/>
        </w:rPr>
        <w:t>财政云一体化系统运维服务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XGZB260605-B028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财政云一体化系统运维服务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西安经开区财政云一体化运维服务项目，拟请第三方公司对全区各预算单位提供技术支持和业务指导，并解决系统各种突发疑难问题，期限3年。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采购包1（财政云一体化系统运维服务）：属于专门面向中小企业采购。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投标全过程，其中法定代表人/负责人直接投标，须提交法定代表人/负责人身份证明书和身份证。法定代表人/负责人授权代表参加投标的，须出具法定代表人/负责人授权书、授权代表身份证及该人员磋商截止时间前三个月内任意时段的本单位社保缴纳证明。</w:t>
      </w:r>
    </w:p>
    <w:p>
      <w:pPr>
        <w:pStyle w:val="null3"/>
      </w:pPr>
      <w:r>
        <w:rPr>
          <w:rFonts w:ascii="仿宋_GB2312" w:hAnsi="仿宋_GB2312" w:cs="仿宋_GB2312" w:eastAsia="仿宋_GB2312"/>
        </w:rPr>
        <w:t>2、信用查询：符合《财政部关于在政府采购活动中查询及使用信用记录有关问题的通知》（财库【2016】125号）文件中信用查询的要求。供应商不得为“信用中国”网站（www.creditchina.gov.cn）中列入失信被执行人和重大税收违法失信主体的供应商，不得为中国政府采购网（www.ccgp.gov.cn）政府采购严重违法失信行为记录名单中被财政部门禁止参加政府采购活动的供应商。 开标当日，由采购人或采购代理机构通过“信用中国” 网站(www. creditchina. gov.cn)、中国政府采购网 (www.ccgp.gov.cn)查询相关主体信用记录网页截图保存，若查询结果不符合要求，按无效投标处理。</w:t>
      </w:r>
    </w:p>
    <w:p>
      <w:pPr>
        <w:pStyle w:val="null3"/>
      </w:pPr>
      <w:r>
        <w:rPr>
          <w:rFonts w:ascii="仿宋_GB2312" w:hAnsi="仿宋_GB2312" w:cs="仿宋_GB2312" w:eastAsia="仿宋_GB2312"/>
        </w:rPr>
        <w:t>3、非联合体磋商：本项目不接受联合体磋商。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西安经济技术开发区财政金融局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西安市未央区明光路166号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029-86522654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西安兴国项目管理有限公司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西安经济技术开发区凤城十二路66号（首创富北高银）28幢2单元14层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贺文晓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029-87433755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康钧朝</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及《国家发展改革委办公厅关于招标代理服务收费有关问题的通知》（发改价格[2003]857号）文件的通知标准收取。 服务费缴纳账户： 户名：西安兴国项目管理有限公司 开户银行：中国建设银行股份有限公司西安凤城十二路支行 银行账户：61050177004500000313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西安经济技术开发区财政金融局</w:t>
      </w:r>
      <w:r>
        <w:rPr>
          <w:rFonts w:ascii="仿宋_GB2312" w:hAnsi="仿宋_GB2312" w:cs="仿宋_GB2312" w:eastAsia="仿宋_GB2312"/>
        </w:rPr>
        <w:t>和</w:t>
      </w:r>
      <w:r>
        <w:rPr>
          <w:rFonts w:ascii="仿宋_GB2312" w:hAnsi="仿宋_GB2312" w:cs="仿宋_GB2312" w:eastAsia="仿宋_GB2312"/>
        </w:rPr>
        <w:t>西安兴国项目管理有限公司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西安经济技术开发区财政金融局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西安兴国项目管理有限公司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西安经济技术开发区财政金融局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西安兴国项目管理有限公司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综合评分达标、无重大安全或系统瘫痪事故、服务内容完成即为通过；否则不通过。</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西安兴国项目管理有限公司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西安兴国项目管理有限公司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西安兴国项目管理有限公司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联系人：贺文晓</w:t>
      </w:r>
    </w:p>
    <w:p>
      <w:pPr>
        <w:pStyle w:val="null3"/>
      </w:pPr>
      <w:r>
        <w:rPr>
          <w:rFonts w:ascii="仿宋_GB2312" w:hAnsi="仿宋_GB2312" w:cs="仿宋_GB2312" w:eastAsia="仿宋_GB2312"/>
        </w:rPr>
        <w:t>联系电话：029-87433755</w:t>
      </w:r>
    </w:p>
    <w:p>
      <w:pPr>
        <w:pStyle w:val="null3"/>
      </w:pPr>
      <w:r>
        <w:rPr>
          <w:rFonts w:ascii="仿宋_GB2312" w:hAnsi="仿宋_GB2312" w:cs="仿宋_GB2312" w:eastAsia="仿宋_GB2312"/>
        </w:rPr>
        <w:t>地址：西安经济技术开发区凤城十二路66号（首创富北高银）28幢2单元14层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西安经开区财政云一体化运维服务项目，拟请第三方公司对全区各预算单位提供技术支持和业务指导，并解决系统各种突发疑难问题，期限3年。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870,000.00</w:t>
      </w:r>
    </w:p>
    <w:p>
      <w:pPr>
        <w:pStyle w:val="null3"/>
      </w:pPr>
      <w:r>
        <w:rPr>
          <w:rFonts w:ascii="仿宋_GB2312" w:hAnsi="仿宋_GB2312" w:cs="仿宋_GB2312" w:eastAsia="仿宋_GB2312"/>
        </w:rPr>
        <w:t>采购包最高限价（元）: 870,000.00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财政云一体化系统运维服务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标的名称：财政云一体化系统运维服务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rPr>
              <w:t>一、商务要求</w:t>
            </w:r>
          </w:p>
          <w:p>
            <w:pPr>
              <w:pStyle w:val="null3"/>
            </w:pPr>
            <w:r>
              <w:rPr>
                <w:rFonts w:ascii="仿宋_GB2312" w:hAnsi="仿宋_GB2312" w:cs="仿宋_GB2312" w:eastAsia="仿宋_GB2312"/>
                <w:sz w:val="19"/>
              </w:rPr>
              <w:t>1、项目名称：财政云一体化系统运维服务</w:t>
            </w:r>
          </w:p>
          <w:p>
            <w:pPr>
              <w:pStyle w:val="null3"/>
            </w:pPr>
            <w:r>
              <w:rPr>
                <w:rFonts w:ascii="仿宋_GB2312" w:hAnsi="仿宋_GB2312" w:cs="仿宋_GB2312" w:eastAsia="仿宋_GB2312"/>
                <w:sz w:val="19"/>
              </w:rPr>
              <w:t>2、服务期：三年。</w:t>
            </w:r>
          </w:p>
          <w:p>
            <w:pPr>
              <w:pStyle w:val="null3"/>
            </w:pPr>
            <w:r>
              <w:rPr>
                <w:rFonts w:ascii="仿宋_GB2312" w:hAnsi="仿宋_GB2312" w:cs="仿宋_GB2312" w:eastAsia="仿宋_GB2312"/>
                <w:sz w:val="19"/>
              </w:rPr>
              <w:t>3、服务地点：采购人指定地点。</w:t>
            </w:r>
          </w:p>
          <w:p>
            <w:pPr>
              <w:pStyle w:val="null3"/>
            </w:pPr>
            <w:r>
              <w:rPr>
                <w:rFonts w:ascii="仿宋_GB2312" w:hAnsi="仿宋_GB2312" w:cs="仿宋_GB2312" w:eastAsia="仿宋_GB2312"/>
                <w:sz w:val="19"/>
              </w:rPr>
              <w:t>4、年度最高限价：290000.00元。</w:t>
            </w:r>
          </w:p>
          <w:p>
            <w:pPr>
              <w:pStyle w:val="null3"/>
            </w:pPr>
            <w:r>
              <w:rPr>
                <w:rFonts w:ascii="仿宋_GB2312" w:hAnsi="仿宋_GB2312" w:cs="仿宋_GB2312" w:eastAsia="仿宋_GB2312"/>
                <w:sz w:val="19"/>
              </w:rPr>
              <w:t>5、服务内容：本项目为财政云一体化系统运维服务，服务对象覆盖我区53个预算单位（含47家公办学校/幼儿园、管委会、城管支队、北田街道办、西安市体育中心、渭北新城管理中心、公安经开分局等）。主要工作内容包括：财政云系统日常运行保障、故障排查、系统模块调试优化、预算单位业务操作指导、数据安全维护、国库集中支付全流程技术支持等。需提供驻场运维服务，保障系统稳定运行。</w:t>
            </w:r>
          </w:p>
          <w:p>
            <w:pPr>
              <w:pStyle w:val="null3"/>
            </w:pPr>
            <w:r>
              <w:rPr>
                <w:rFonts w:ascii="仿宋_GB2312" w:hAnsi="仿宋_GB2312" w:cs="仿宋_GB2312" w:eastAsia="仿宋_GB2312"/>
                <w:sz w:val="19"/>
              </w:rPr>
              <w:t>6、须提供一名驻场工程师。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每半年服务期满后，供应商提交服务报告及验收申请，采购人7日内组织验收。验收标准：系统运行正常、服务响应及时、驻场到位、数据安全、文档齐全，无重大事故。验收方式：查阅资料、抽查系统、征询预算单位意见。合格后出具验收意见并付款，不合格则整改后重新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进度款，合同签订后，按半年为付款周期，每半年服务期满后，甲方付款前乙方需提供合法有效的足额含税发票，达到付款条件起30个工作日内，支付合同总金额的16.66%</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进度款，按半年为付款周期，每半年服务期满后，甲方付款前乙方需提供合法有效的足额含税发票，达到付款条件起30个工作日内，支付合同总金额的16.66%</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进度款，按半年为付款周期，每半年服务期满后，甲方付款前乙方需提供合法有效的足额含税发票，达到付款条件起30个工作日内，支付合同总金额的16.66%</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进度款，按半年为付款周期，每半年服务期满后，甲方付款前乙方需提供合法有效的足额含税发票，达到付款条件起30个工作日内，支付合同总金额的16.66%</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进度款，按半年为付款周期，每半年服务期满后，甲方付款前乙方需提供合法有效的足额含税发票，达到付款条件起30个工作日内，支付合同总金额的16.66%</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进度款，按半年为付款周期，每半年服务期满后，甲方付款前乙方需提供合法有效的足额含税发票，达到付款条件起30个工作日内，支付合同总金额的16.7%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未按合同要求提供服务或服务质量不能满足合同要求，采购人应当将服务商违约的情况以及拟采取的措施以书面形式报政府采购监管部门，根据政府采购监管部门的处理意见，采购人有权依据《民法典》有关条款及合同约定终止合同，并要求服务商承担违约责任。同时，政府采购监管部门有权依据《政府采购法》及相关法律法规对服务商的违法行为进行相应的处罚。（2）其他未尽事宜，按《民法典》中的相关条款执行。 争议的解决：因本合同而引起的或与本合同有关的任何争议，双方应当友好协商解决。如协商未能达成一致时，向有管辖权的人民法院提起诉讼。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需要落实的政府采购政策：（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中国残疾人联合会关于促进残疾人就业政府采购政策的通知-财库〔2017〕141号；（5）财政部 发展改革委 生态环境部 国家市场监督管理总局关于调整优化节能产品、环境标志产品政府采购执行机制的通知-财库〔2019〕9号；（6）财政部生态环境部关于印发环境标志产品政府采购品目清单的通知-财库〔2019〕18号；（7）财政部发展改革委关于印发节能产品政府采购品目清单的通知 -财库〔2019〕19号；（8）财政部 农业农村部 国家乡村振兴局关于运用政府采购政策支持乡村产业振兴的通知-财库〔2021〕19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西安市财政局关于促进政府采购公平竞争优化营商环境的通知-市财函〔2021〕431号；（16）西安市财政局关于贯彻落实&lt;西安市政府采购信用担保及信用融资工作实施方案（试行）&gt;有关事宜的通知-市财发〔2015〕4号；（17）国务院办公厅关于在政府采购中实施本国产品标准及相关政策的通知-国办发〔2025〕34号；（18）财政部《关于推动解决政府采购异常低价问题的通知》（财库〔2026〕2号）；（19）如有最新颁布的政府采购政策，按最新的文件执行。 2、采购标的对应的中小企业划分标准所属行业：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3、纸质版响应文件要求：成交供应商在领取成交通知书前，须向采购代理机构提供纸质版响应文件3套（1正2副），电子文件1份（U盘1份，内容包括Word版本、签章PDF版本响应文件）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1.法人或者其他组织提供营业执照等证明文件，自然人提供身份证件； 2.提供2025年度经审计的财务报告（成立时间至磋商截止时间不足一年的可提供成立后任意时段的资产负债表）或磋商截止时间前三个月内其基本账户银行出具的资信证明或政府采购信用担保机构出具的担保函；（以上三种形式的资料提供任何一种即可）； 3.提供具有履行本合同所必需的设备和专业技术能力的书面声明； 4.提供磋商截止时间前六个月内任意时段的税收缴纳凭证及社会保险缴纳的凭证； 5.供应商提供参加政府采购活动前三年内在经营活动中没有重大违法记录的书面声明。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9.供应商资格证明文件.pdf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2025年度经审计的财务报告（成立时间至磋商截止时间不足一年的可提供成立后任意时段的资产负债表）或磋商截止时间前三个月内其基本账户银行出具的资信证明或政府采购信用担保机构出具的担保函；（以上三种形式的资料提供任何一种即可）。</w:t>
            </w:r>
          </w:p>
        </w:tc>
        <w:tc>
          <w:tcPr>
            <w:tcW w:type="dxa" w:w="1661"/>
          </w:tcPr>
          <w:p>
            <w:pPr>
              <w:pStyle w:val="null3"/>
            </w:pPr>
            <w:r>
              <w:rPr>
                <w:rFonts w:ascii="仿宋_GB2312" w:hAnsi="仿宋_GB2312" w:cs="仿宋_GB2312" w:eastAsia="仿宋_GB2312"/>
              </w:rPr>
              <w:t>9.供应商资格证明文件.pdf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9.供应商资格证明文件.pdf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法定代表人/负责人授权代表参加投标的，须出具法定代表人/负责人授权书、授权代表身份证及该人员磋商截止时间前三个月内任意时段的本单位社保缴纳证明。</w:t>
            </w:r>
          </w:p>
        </w:tc>
        <w:tc>
          <w:tcPr>
            <w:tcW w:type="dxa" w:w="1661"/>
          </w:tcPr>
          <w:p>
            <w:pPr>
              <w:pStyle w:val="null3"/>
            </w:pPr>
            <w:r>
              <w:rPr>
                <w:rFonts w:ascii="仿宋_GB2312" w:hAnsi="仿宋_GB2312" w:cs="仿宋_GB2312" w:eastAsia="仿宋_GB2312"/>
              </w:rPr>
              <w:t>9.供应商资格证明文件.pdf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供应商不得为“信用中国”网站（www.creditchina.gov.cn）中列入失信被执行人和重大税收违法失信主体的供应商，不得为中国政府采购网（www.ccgp.gov.cn）政府采购严重违法失信行为记录名单中被财政部门禁止参加政府采购活动的供应商。 开标当日，由采购人或采购代理机构通过“信用中国” 网站(www. creditchina. gov.cn)、中国政府采购网 (www.ccgp.gov.cn)查询相关主体信用记录网页截图保存，若查询结果不符合要求，按无效投标处理。</w:t>
            </w:r>
          </w:p>
        </w:tc>
        <w:tc>
          <w:tcPr>
            <w:tcW w:type="dxa" w:w="1661"/>
          </w:tcPr>
          <w:p>
            <w:pPr>
              <w:pStyle w:val="null3"/>
            </w:pPr>
            <w:r>
              <w:rPr>
                <w:rFonts w:ascii="仿宋_GB2312" w:hAnsi="仿宋_GB2312" w:cs="仿宋_GB2312" w:eastAsia="仿宋_GB2312"/>
              </w:rPr>
              <w:t>9.供应商资格证明文件.pdf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9.供应商资格证明文件.pdf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5.磋商一览表.pdf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13.业绩证明文件.pdf 11.供应商承诺书.pdf 中小企业声明函 报价表 10.商务、技术条款响应表.pdf 响应文件封面 5.磋商一览表.pdf 9.供应商资格证明文件.pdf 残疾人福利性单位声明函 标的清单 12.服务方案.pdf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5.磋商一览表.pdf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5.磋商一览表.pdf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10.商务、技术条款响应表.pdf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13.业绩证明文件.pdf 11.供应商承诺书.pdf 中小企业声明函 报价表 10.商务、技术条款响应表.pdf 响应文件封面 5.磋商一览表.pdf 9.供应商资格证明文件.pdf 残疾人福利性单位声明函 标的清单 12.服务方案.pdf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根据供应商提供的针对本项目的服务方案（含：①总体服务方案；②维保方案；③维保措施；④响应时间；⑤风险防范措施；⑥质量保证措施；⑦管理制度）进行综合评审，完整提供上述7项内容的得21分；每有一项未提供扣3分，扣完为止；每有一处有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12.服务方案.pdf</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针对本项目的重难点分析，包含①分析维保过程中的重难点工作；②针对重难点工作提出对应的解决方案及解决措施。完整提供上述2项内容的得8分；每有一项未提供扣4分，扣完为止；每有一处有缺陷扣2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12.服务方案.pdf</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针对本项目提供应急措施保障，措施保障内容包含①应急预案、②应急处理响应时间、③应急人数及人员安排、④保障措施。完整提供上述4项内容的得8分；每有一项未提供扣2分，扣完为止；每有一处有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的人员配备方案（须包含一名驻场工程师），包含①人员配备清单、②岗位分工、③配备人员证明资料、④人员管理制度。完整提供上述4项内容的得12分；每有一项未提供扣3分，扣完为止；每有一处有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12.服务方案.pdf</w:t>
            </w:r>
          </w:p>
        </w:tc>
      </w:tr>
      <w:tr>
        <w:tc>
          <w:tcPr>
            <w:tcW w:type="dxa" w:w="831"/>
            <w:vMerge/>
          </w:tcPr>
          <w:p/>
        </w:tc>
        <w:tc>
          <w:tcPr>
            <w:tcW w:type="dxa" w:w="1661"/>
          </w:tcPr>
          <w:p>
            <w:pPr>
              <w:pStyle w:val="null3"/>
            </w:pPr>
            <w:r>
              <w:rPr>
                <w:rFonts w:ascii="仿宋_GB2312" w:hAnsi="仿宋_GB2312" w:cs="仿宋_GB2312" w:eastAsia="仿宋_GB2312"/>
              </w:rPr>
              <w:t>人员培训及管理</w:t>
            </w:r>
          </w:p>
        </w:tc>
        <w:tc>
          <w:tcPr>
            <w:tcW w:type="dxa" w:w="2492"/>
          </w:tcPr>
          <w:p>
            <w:pPr>
              <w:pStyle w:val="null3"/>
            </w:pPr>
            <w:r>
              <w:rPr>
                <w:rFonts w:ascii="仿宋_GB2312" w:hAnsi="仿宋_GB2312" w:cs="仿宋_GB2312" w:eastAsia="仿宋_GB2312"/>
              </w:rPr>
              <w:t>①针对本项目驻场人员进行培训，提供定期培训，并制定详细、可行的培训方案，保证驻场人员的专业素质，服务质量符合采购人要求。②提供人员管理保障措施、与采购人工作配合的保障措施、人员驻场服务保障措施等 完整提供上述2项内容的得4分；每有一项未提供扣2分，扣完为止；每有一处有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12.服务方案.pdf</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提供具体的售后服务方案，包含①售后内容与措施、②响应时限、③售后服务承诺等。 完整提供上述3项内容的得12分；每有一项未提供扣4分，扣完为止；每有一处有缺陷扣2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提供针对本项目的保密措施（包括但不限于：①保密制度、②数据安全保密措施、③泄密处罚制度、④补救措施）、⑤人员保密承诺。 完整提供上述5项内容的得10分；每有一项未提供扣2分，扣完为止；每有一处有缺陷扣1分，扣完为止。（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12.服务方案.pdf</w:t>
            </w:r>
          </w:p>
        </w:tc>
      </w:tr>
      <w:tr>
        <w:tc>
          <w:tcPr>
            <w:tcW w:type="dxa" w:w="831"/>
            <w:vMerge/>
          </w:tcPr>
          <w:p/>
        </w:tc>
        <w:tc>
          <w:tcPr>
            <w:tcW w:type="dxa" w:w="1661"/>
          </w:tcPr>
          <w:p>
            <w:pPr>
              <w:pStyle w:val="null3"/>
            </w:pPr>
            <w:r>
              <w:rPr>
                <w:rFonts w:ascii="仿宋_GB2312" w:hAnsi="仿宋_GB2312" w:cs="仿宋_GB2312" w:eastAsia="仿宋_GB2312"/>
              </w:rPr>
              <w:t>服务团队稳定性保障</w:t>
            </w:r>
          </w:p>
        </w:tc>
        <w:tc>
          <w:tcPr>
            <w:tcW w:type="dxa" w:w="2492"/>
          </w:tcPr>
          <w:p>
            <w:pPr>
              <w:pStyle w:val="null3"/>
            </w:pPr>
            <w:r>
              <w:rPr>
                <w:rFonts w:ascii="仿宋_GB2312" w:hAnsi="仿宋_GB2312" w:cs="仿宋_GB2312" w:eastAsia="仿宋_GB2312"/>
              </w:rPr>
              <w:t>供应商提供项目团队人员稳定性保障方案： 1. 提供人员稳定性承诺函（承诺项目团队人员在中标后服务期内不得随意更换），得2分； 2. 提供人员更换管理机制（确需更换须经采购人书面同意，且更换人员资质不低于原人员，并提供更换审批流程说明），得3分。 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12.服务方案.pdf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供应商提供2023年1月1日至今（以合同签订日期为准）类似项目业绩,每项业绩得2.5分，最高得10分。 注：业绩须提供合同复印件(加盖供应商公章)；弄虚作假者取消其磋商成交资格。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13.业绩证明文件.pdf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5.磋商一览表.pdf</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 2.满足磋商文件实质性要求且最后报价最低的投标人的价格为磋商基准价，其价格分为满分10分。 3.磋商报价得分=（磋商基准价/最后磋商报价）×价格权值×100的公式计算得分。 本项目为专门面向中小企业采购项目，不再执行价格评审优惠的扶持政策。</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5.磋商一览表.pdf</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详见附件：5.磋商一览表.pdf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详见附件：9.供应商资格证明文件.pdf</w:t>
      </w:r>
    </w:p>
    <w:p>
      <w:pPr>
        <w:pStyle w:val="null3"/>
        <w:ind w:firstLine="960"/>
      </w:pPr>
      <w:r>
        <w:rPr>
          <w:rFonts w:ascii="仿宋_GB2312" w:hAnsi="仿宋_GB2312" w:cs="仿宋_GB2312" w:eastAsia="仿宋_GB2312"/>
        </w:rPr>
        <w:t>详见附件：10.商务、技术条款响应表.pdf</w:t>
      </w:r>
    </w:p>
    <w:p>
      <w:pPr>
        <w:pStyle w:val="null3"/>
        <w:ind w:firstLine="960"/>
      </w:pPr>
      <w:r>
        <w:rPr>
          <w:rFonts w:ascii="仿宋_GB2312" w:hAnsi="仿宋_GB2312" w:cs="仿宋_GB2312" w:eastAsia="仿宋_GB2312"/>
        </w:rPr>
        <w:t>详见附件：11.供应商承诺书.pdf</w:t>
      </w:r>
    </w:p>
    <w:p>
      <w:pPr>
        <w:pStyle w:val="null3"/>
        <w:ind w:firstLine="960"/>
      </w:pPr>
      <w:r>
        <w:rPr>
          <w:rFonts w:ascii="仿宋_GB2312" w:hAnsi="仿宋_GB2312" w:cs="仿宋_GB2312" w:eastAsia="仿宋_GB2312"/>
        </w:rPr>
        <w:t>详见附件：12.服务方案.pdf</w:t>
      </w:r>
    </w:p>
    <w:p>
      <w:pPr>
        <w:pStyle w:val="null3"/>
        <w:ind w:firstLine="960"/>
      </w:pPr>
      <w:r>
        <w:rPr>
          <w:rFonts w:ascii="仿宋_GB2312" w:hAnsi="仿宋_GB2312" w:cs="仿宋_GB2312" w:eastAsia="仿宋_GB2312"/>
        </w:rPr>
        <w:t>详见附件：13.业绩证明文件.pdf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