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822F4">
      <w:pPr>
        <w:pStyle w:val="8"/>
        <w:rPr>
          <w:rFonts w:hint="default"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t>详见附件：合同条款的响应</w:t>
      </w:r>
    </w:p>
    <w:p w14:paraId="3D8BD099">
      <w:pPr>
        <w:pStyle w:val="8"/>
        <w:rPr>
          <w:rFonts w:hint="default" w:asciiTheme="minorEastAsia" w:hAnsiTheme="minorEastAsia" w:cstheme="minorEastAsia"/>
        </w:rPr>
      </w:pPr>
    </w:p>
    <w:p w14:paraId="7A238653">
      <w:pPr>
        <w:pStyle w:val="5"/>
        <w:spacing w:before="81" w:line="222" w:lineRule="auto"/>
        <w:ind w:firstLine="2652" w:firstLineChars="600"/>
        <w:jc w:val="both"/>
        <w:outlineLvl w:val="0"/>
        <w:rPr>
          <w:rFonts w:asciiTheme="minorEastAsia" w:hAnsiTheme="minorEastAsia" w:eastAsiaTheme="minorEastAsia" w:cstheme="minorEastAsia"/>
          <w:spacing w:val="21"/>
          <w:sz w:val="40"/>
          <w:szCs w:val="4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1"/>
          <w:sz w:val="40"/>
          <w:szCs w:val="40"/>
          <w:lang w:eastAsia="zh-CN"/>
        </w:rPr>
        <w:t>合同条款的响应</w:t>
      </w:r>
    </w:p>
    <w:p w14:paraId="76E46FD4">
      <w:pPr>
        <w:pStyle w:val="9"/>
        <w:spacing w:before="156" w:after="156"/>
        <w:ind w:firstLine="400" w:firstLineChars="200"/>
        <w:rPr>
          <w:rFonts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第七章 拟签定合同文本”内容的响应。</w:t>
      </w:r>
    </w:p>
    <w:tbl>
      <w:tblPr>
        <w:tblStyle w:val="6"/>
        <w:tblW w:w="873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3037"/>
        <w:gridCol w:w="2977"/>
        <w:gridCol w:w="1937"/>
      </w:tblGrid>
      <w:tr w14:paraId="0FFD30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79" w:type="dxa"/>
            <w:noWrap/>
            <w:vAlign w:val="center"/>
          </w:tcPr>
          <w:p w14:paraId="1742D08A">
            <w:pPr>
              <w:ind w:right="23"/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3037" w:type="dxa"/>
            <w:noWrap/>
            <w:vAlign w:val="center"/>
          </w:tcPr>
          <w:p w14:paraId="4FE20116">
            <w:pPr>
              <w:ind w:right="23"/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  <w:t>招标文件</w:t>
            </w:r>
          </w:p>
          <w:p w14:paraId="15AB7E7A">
            <w:pPr>
              <w:ind w:right="23"/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  <w:t>合同条款要求</w:t>
            </w:r>
          </w:p>
        </w:tc>
        <w:tc>
          <w:tcPr>
            <w:tcW w:w="2977" w:type="dxa"/>
            <w:noWrap/>
            <w:vAlign w:val="center"/>
          </w:tcPr>
          <w:p w14:paraId="7CAB4B66">
            <w:pPr>
              <w:ind w:right="23"/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  <w:t>响应文件</w:t>
            </w:r>
          </w:p>
          <w:p w14:paraId="17753505">
            <w:pPr>
              <w:ind w:right="23"/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lang w:eastAsia="zh-CN"/>
              </w:rPr>
              <w:t>合同条款响应</w:t>
            </w:r>
          </w:p>
        </w:tc>
        <w:tc>
          <w:tcPr>
            <w:tcW w:w="1937" w:type="dxa"/>
            <w:noWrap/>
            <w:vAlign w:val="center"/>
          </w:tcPr>
          <w:p w14:paraId="0BE187F8">
            <w:pPr>
              <w:ind w:right="23"/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</w:rPr>
              <w:t>偏离</w:t>
            </w:r>
          </w:p>
          <w:p w14:paraId="55F2F50D">
            <w:pPr>
              <w:ind w:right="23"/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</w:rPr>
              <w:t>及其影响</w:t>
            </w:r>
          </w:p>
        </w:tc>
      </w:tr>
      <w:tr w14:paraId="7971A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79" w:type="dxa"/>
            <w:noWrap/>
          </w:tcPr>
          <w:p w14:paraId="4EB92E3D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3037" w:type="dxa"/>
            <w:noWrap/>
          </w:tcPr>
          <w:p w14:paraId="2CE348F2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2977" w:type="dxa"/>
            <w:noWrap/>
          </w:tcPr>
          <w:p w14:paraId="71CFE366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1937" w:type="dxa"/>
            <w:noWrap/>
          </w:tcPr>
          <w:p w14:paraId="165D19E4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</w:tr>
      <w:tr w14:paraId="3BD6BA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79" w:type="dxa"/>
            <w:noWrap/>
          </w:tcPr>
          <w:p w14:paraId="48D9261F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3037" w:type="dxa"/>
            <w:noWrap/>
          </w:tcPr>
          <w:p w14:paraId="5BEFDD23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2977" w:type="dxa"/>
            <w:noWrap/>
          </w:tcPr>
          <w:p w14:paraId="7BD9BCBF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1937" w:type="dxa"/>
            <w:noWrap/>
          </w:tcPr>
          <w:p w14:paraId="05851723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</w:tr>
      <w:tr w14:paraId="200348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79" w:type="dxa"/>
            <w:noWrap/>
          </w:tcPr>
          <w:p w14:paraId="72F2D4E1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3037" w:type="dxa"/>
            <w:noWrap/>
          </w:tcPr>
          <w:p w14:paraId="39494796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2977" w:type="dxa"/>
            <w:noWrap/>
          </w:tcPr>
          <w:p w14:paraId="7EE42BD9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1937" w:type="dxa"/>
            <w:noWrap/>
          </w:tcPr>
          <w:p w14:paraId="1315E037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</w:tr>
      <w:tr w14:paraId="07B433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79" w:type="dxa"/>
            <w:noWrap/>
          </w:tcPr>
          <w:p w14:paraId="627AD29D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3037" w:type="dxa"/>
            <w:noWrap/>
          </w:tcPr>
          <w:p w14:paraId="33255826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2977" w:type="dxa"/>
            <w:noWrap/>
          </w:tcPr>
          <w:p w14:paraId="31CD5F9D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1937" w:type="dxa"/>
            <w:noWrap/>
          </w:tcPr>
          <w:p w14:paraId="76551762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</w:tr>
      <w:tr w14:paraId="0F1A46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79" w:type="dxa"/>
            <w:noWrap/>
          </w:tcPr>
          <w:p w14:paraId="626865F1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3037" w:type="dxa"/>
            <w:noWrap/>
          </w:tcPr>
          <w:p w14:paraId="28069A97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2977" w:type="dxa"/>
            <w:noWrap/>
          </w:tcPr>
          <w:p w14:paraId="16E99577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1937" w:type="dxa"/>
            <w:noWrap/>
          </w:tcPr>
          <w:p w14:paraId="3C88233A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</w:tr>
      <w:tr w14:paraId="209065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79" w:type="dxa"/>
            <w:noWrap/>
          </w:tcPr>
          <w:p w14:paraId="0DA056CE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3037" w:type="dxa"/>
            <w:noWrap/>
          </w:tcPr>
          <w:p w14:paraId="4779B101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2977" w:type="dxa"/>
            <w:noWrap/>
          </w:tcPr>
          <w:p w14:paraId="368B90E7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  <w:tc>
          <w:tcPr>
            <w:tcW w:w="1937" w:type="dxa"/>
            <w:noWrap/>
          </w:tcPr>
          <w:p w14:paraId="1DC2DAE5">
            <w:pPr>
              <w:spacing w:line="360" w:lineRule="auto"/>
              <w:ind w:right="24"/>
              <w:rPr>
                <w:rFonts w:asciiTheme="minorEastAsia" w:hAnsiTheme="minorEastAsia" w:eastAsiaTheme="minorEastAsia" w:cstheme="minorEastAsia"/>
                <w:bCs/>
                <w:sz w:val="20"/>
                <w:szCs w:val="20"/>
              </w:rPr>
            </w:pPr>
          </w:p>
        </w:tc>
      </w:tr>
    </w:tbl>
    <w:p w14:paraId="76CE57E2">
      <w:pPr>
        <w:pStyle w:val="9"/>
        <w:spacing w:before="156" w:after="156"/>
        <w:rPr>
          <w:rFonts w:asciiTheme="minorEastAsia" w:hAnsiTheme="minorEastAsia" w:eastAsiaTheme="minorEastAsia" w:cstheme="minorEastAsia"/>
          <w:b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说明：</w:t>
      </w:r>
    </w:p>
    <w:p w14:paraId="27D60C1B">
      <w:pPr>
        <w:pStyle w:val="9"/>
        <w:spacing w:before="156" w:after="156"/>
        <w:rPr>
          <w:rFonts w:asciiTheme="minorEastAsia" w:hAnsiTheme="minorEastAsia" w:eastAsiaTheme="minorEastAsia" w:cstheme="minorEastAsia"/>
          <w:b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1.本表只填写响应文件中与招标文件有偏离（包括正偏离和负偏离）的内容，响应文件中合同条款响应与招标文件要求完全一致的，不用在此表中列出，但必须递交空白表。</w:t>
      </w:r>
    </w:p>
    <w:p w14:paraId="5057E8F6">
      <w:pPr>
        <w:pStyle w:val="9"/>
        <w:spacing w:before="156" w:after="156"/>
        <w:rPr>
          <w:rFonts w:asciiTheme="minorEastAsia" w:hAnsiTheme="minorEastAsia" w:eastAsiaTheme="minorEastAsia" w:cstheme="minorEastAsia"/>
          <w:b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2.投标人必须据实填写，不得虚假响应，否则将取消其投标资格，并按有关规定进处罚。</w:t>
      </w:r>
    </w:p>
    <w:p w14:paraId="366A7D90">
      <w:pPr>
        <w:spacing w:line="400" w:lineRule="exact"/>
        <w:rPr>
          <w:rFonts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供   应   商：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 xml:space="preserve"> （盖单位章）</w:t>
      </w:r>
    </w:p>
    <w:p w14:paraId="567B3368">
      <w:pPr>
        <w:spacing w:line="400" w:lineRule="exact"/>
        <w:jc w:val="center"/>
        <w:rPr>
          <w:rFonts w:asciiTheme="minorEastAsia" w:hAnsiTheme="minorEastAsia" w:eastAsiaTheme="minorEastAsia" w:cstheme="minorEastAsia"/>
          <w:sz w:val="20"/>
          <w:szCs w:val="20"/>
          <w:lang w:eastAsia="zh-CN"/>
        </w:rPr>
      </w:pPr>
    </w:p>
    <w:p w14:paraId="10F89DF6">
      <w:pPr>
        <w:spacing w:line="400" w:lineRule="exact"/>
        <w:outlineLvl w:val="1"/>
        <w:rPr>
          <w:rFonts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（签字）</w:t>
      </w:r>
    </w:p>
    <w:p w14:paraId="3BAE7FEB">
      <w:pPr>
        <w:pStyle w:val="3"/>
        <w:ind w:firstLine="400"/>
        <w:rPr>
          <w:rFonts w:asciiTheme="minorEastAsia" w:hAnsiTheme="minorEastAsia" w:eastAsiaTheme="minorEastAsia" w:cstheme="minorEastAsia"/>
          <w:sz w:val="20"/>
          <w:szCs w:val="20"/>
          <w:lang w:eastAsia="zh-CN"/>
        </w:rPr>
      </w:pPr>
    </w:p>
    <w:p w14:paraId="0444600E">
      <w:pPr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  <w:t>日    期：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E7713"/>
    <w:rsid w:val="378E7713"/>
    <w:rsid w:val="6D60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qFormat/>
    <w:uiPriority w:val="39"/>
    <w:pPr>
      <w:ind w:left="1260" w:leftChars="600"/>
    </w:p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9">
    <w:name w:val="样式2"/>
    <w:basedOn w:val="1"/>
    <w:qFormat/>
    <w:uiPriority w:val="0"/>
    <w:pPr>
      <w:widowControl w:val="0"/>
      <w:spacing w:beforeLines="50" w:afterLines="50" w:line="560" w:lineRule="exact"/>
      <w:outlineLvl w:val="1"/>
    </w:pPr>
    <w:rPr>
      <w:rFonts w:ascii="宋体" w:hAnsi="宋体" w:eastAsia="宋体"/>
      <w:bCs/>
      <w:kern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216</Characters>
  <Lines>0</Lines>
  <Paragraphs>0</Paragraphs>
  <TotalTime>0</TotalTime>
  <ScaleCrop>false</ScaleCrop>
  <LinksUpToDate>false</LinksUpToDate>
  <CharactersWithSpaces>282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2025-06-24T06:50:00Z</dcterms:created>
  <dc:creator>公 瑾－</dc:creator>
  <cp:lastModifiedBy>96</cp:lastModifiedBy>
  <dcterms:modified xsi:type="dcterms:W3CDTF">2026-06-22T02:44:57Z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00AE2D3C15644046ABD5A8BB8D7DFCA7_11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