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93937">
      <w:pPr>
        <w:pStyle w:val="5"/>
        <w:rPr>
          <w:rFonts w:hint="eastAsia" w:eastAsia="仿宋_GB2312"/>
          <w:color w:val="0716DF"/>
          <w:lang w:eastAsia="zh-CN"/>
        </w:rPr>
      </w:pPr>
      <w:bookmarkStart w:id="1" w:name="_GoBack"/>
      <w:r>
        <w:rPr>
          <w:rFonts w:ascii="仿宋_GB2312" w:hAnsi="仿宋_GB2312" w:eastAsia="仿宋_GB2312" w:cs="仿宋_GB2312"/>
          <w:color w:val="0716DF"/>
        </w:rPr>
        <w:t>拟签订的合同参考文本</w:t>
      </w:r>
      <w:bookmarkEnd w:id="1"/>
      <w:r>
        <w:rPr>
          <w:rFonts w:ascii="仿宋_GB2312" w:hAnsi="仿宋_GB2312" w:eastAsia="仿宋_GB2312" w:cs="仿宋_GB2312"/>
          <w:color w:val="0716DF"/>
        </w:rPr>
        <w:t>.doc</w:t>
      </w:r>
      <w:r>
        <w:rPr>
          <w:rFonts w:hint="eastAsia" w:ascii="仿宋_GB2312" w:hAnsi="仿宋_GB2312" w:eastAsia="仿宋_GB2312" w:cs="仿宋_GB2312"/>
          <w:color w:val="0716DF"/>
          <w:lang w:eastAsia="zh-CN"/>
        </w:rPr>
        <w:t xml:space="preserve"> </w:t>
      </w:r>
    </w:p>
    <w:p w14:paraId="7658D112">
      <w:pPr>
        <w:rPr>
          <w:rFonts w:hint="eastAsia" w:ascii="仿宋" w:hAnsi="仿宋" w:eastAsia="仿宋" w:cs="仿宋"/>
          <w:b/>
          <w:color w:val="0716DF"/>
          <w:sz w:val="32"/>
          <w:szCs w:val="32"/>
        </w:rPr>
      </w:pPr>
      <w:r>
        <w:rPr>
          <w:rFonts w:ascii="仿宋_GB2312" w:hAnsi="仿宋_GB2312" w:eastAsia="仿宋_GB2312" w:cs="仿宋_GB2312"/>
          <w:color w:val="0716DF"/>
        </w:rPr>
        <w:t xml:space="preserve"> </w:t>
      </w:r>
      <w:r>
        <w:rPr>
          <w:rFonts w:hint="eastAsia" w:ascii="仿宋" w:hAnsi="仿宋" w:eastAsia="仿宋" w:cs="仿宋"/>
          <w:color w:val="0716DF"/>
        </w:rPr>
        <w:br w:type="textWrapping"/>
      </w:r>
    </w:p>
    <w:tbl>
      <w:tblPr>
        <w:tblStyle w:val="2"/>
        <w:tblpPr w:leftFromText="180" w:rightFromText="180" w:vertAnchor="text" w:horzAnchor="page" w:tblpX="9298" w:tblpY="-262"/>
        <w:tblW w:w="1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tblGrid>
      <w:tr w14:paraId="2CA5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05" w:type="dxa"/>
            <w:tcBorders>
              <w:top w:val="single" w:color="auto" w:sz="4" w:space="0"/>
              <w:left w:val="single" w:color="auto" w:sz="4" w:space="0"/>
              <w:bottom w:val="single" w:color="auto" w:sz="4" w:space="0"/>
              <w:right w:val="single" w:color="auto" w:sz="4" w:space="0"/>
            </w:tcBorders>
          </w:tcPr>
          <w:p w14:paraId="4271FE57">
            <w:pPr>
              <w:rPr>
                <w:rFonts w:hint="eastAsia" w:ascii="仿宋" w:hAnsi="仿宋" w:eastAsia="仿宋" w:cs="仿宋"/>
                <w:b/>
                <w:color w:val="0716DF"/>
                <w:sz w:val="32"/>
                <w:szCs w:val="32"/>
              </w:rPr>
            </w:pPr>
            <w:r>
              <w:rPr>
                <w:rFonts w:hint="eastAsia" w:ascii="仿宋" w:hAnsi="仿宋" w:eastAsia="仿宋" w:cs="仿宋"/>
                <w:b/>
                <w:color w:val="0716DF"/>
                <w:sz w:val="32"/>
                <w:szCs w:val="32"/>
              </w:rPr>
              <w:t>标准</w:t>
            </w:r>
          </w:p>
        </w:tc>
      </w:tr>
    </w:tbl>
    <w:p w14:paraId="636CA32E">
      <w:pPr>
        <w:jc w:val="center"/>
        <w:rPr>
          <w:rFonts w:hint="eastAsia" w:ascii="仿宋" w:hAnsi="仿宋" w:eastAsia="仿宋" w:cs="仿宋"/>
          <w:b/>
          <w:color w:val="0716DF"/>
          <w:sz w:val="36"/>
          <w:szCs w:val="36"/>
        </w:rPr>
      </w:pPr>
    </w:p>
    <w:p w14:paraId="3F127676">
      <w:pPr>
        <w:jc w:val="center"/>
        <w:rPr>
          <w:rFonts w:hint="eastAsia" w:ascii="仿宋" w:hAnsi="仿宋" w:eastAsia="仿宋" w:cs="仿宋"/>
          <w:b/>
          <w:color w:val="0716DF"/>
          <w:sz w:val="36"/>
          <w:szCs w:val="36"/>
        </w:rPr>
      </w:pPr>
    </w:p>
    <w:p w14:paraId="4CEDF85F">
      <w:pPr>
        <w:jc w:val="both"/>
        <w:rPr>
          <w:rFonts w:hint="eastAsia" w:ascii="仿宋" w:hAnsi="仿宋" w:eastAsia="仿宋" w:cs="仿宋"/>
          <w:b/>
          <w:color w:val="0716DF"/>
          <w:sz w:val="36"/>
          <w:szCs w:val="36"/>
        </w:rPr>
      </w:pPr>
    </w:p>
    <w:p w14:paraId="3D6388C1">
      <w:pPr>
        <w:spacing w:line="800" w:lineRule="exact"/>
        <w:jc w:val="center"/>
        <w:rPr>
          <w:rFonts w:hint="eastAsia" w:ascii="仿宋" w:hAnsi="仿宋" w:eastAsia="仿宋" w:cs="仿宋"/>
          <w:b/>
          <w:color w:val="0716DF"/>
          <w:spacing w:val="-20"/>
          <w:sz w:val="58"/>
          <w:szCs w:val="58"/>
        </w:rPr>
      </w:pPr>
      <w:r>
        <w:rPr>
          <w:rFonts w:hint="eastAsia" w:ascii="仿宋" w:hAnsi="仿宋" w:eastAsia="仿宋" w:cs="仿宋"/>
          <w:b/>
          <w:color w:val="0716DF"/>
          <w:spacing w:val="-20"/>
          <w:sz w:val="58"/>
          <w:szCs w:val="58"/>
        </w:rPr>
        <w:t>西安市第三医院</w:t>
      </w:r>
    </w:p>
    <w:p w14:paraId="72086000">
      <w:pPr>
        <w:spacing w:line="800" w:lineRule="exact"/>
        <w:jc w:val="center"/>
        <w:rPr>
          <w:rFonts w:hint="eastAsia" w:ascii="仿宋" w:hAnsi="仿宋" w:eastAsia="仿宋" w:cs="仿宋"/>
          <w:b/>
          <w:color w:val="0716DF"/>
          <w:spacing w:val="-20"/>
          <w:sz w:val="58"/>
          <w:szCs w:val="58"/>
          <w:lang w:eastAsia="zh-CN"/>
        </w:rPr>
      </w:pPr>
      <w:r>
        <w:rPr>
          <w:rFonts w:hint="eastAsia" w:ascii="仿宋" w:hAnsi="仿宋" w:eastAsia="仿宋" w:cs="仿宋"/>
          <w:b/>
          <w:color w:val="0716DF"/>
          <w:spacing w:val="-20"/>
          <w:sz w:val="58"/>
          <w:szCs w:val="58"/>
          <w:lang w:eastAsia="zh-CN"/>
        </w:rPr>
        <w:t>医疗设备一批（超声系统）</w:t>
      </w:r>
    </w:p>
    <w:p w14:paraId="728B7481">
      <w:pPr>
        <w:spacing w:line="800" w:lineRule="exact"/>
        <w:jc w:val="center"/>
        <w:rPr>
          <w:rFonts w:hint="eastAsia" w:ascii="仿宋" w:hAnsi="仿宋" w:eastAsia="仿宋" w:cs="仿宋"/>
          <w:b/>
          <w:color w:val="0716DF"/>
          <w:sz w:val="72"/>
          <w:szCs w:val="72"/>
        </w:rPr>
      </w:pPr>
      <w:r>
        <w:rPr>
          <w:rFonts w:hint="eastAsia" w:ascii="仿宋" w:hAnsi="仿宋" w:eastAsia="仿宋" w:cs="仿宋"/>
          <w:b/>
          <w:color w:val="0716DF"/>
          <w:sz w:val="72"/>
          <w:szCs w:val="72"/>
        </w:rPr>
        <w:t>供 货 合 同</w:t>
      </w:r>
    </w:p>
    <w:p w14:paraId="15917E3F">
      <w:pPr>
        <w:spacing w:line="800" w:lineRule="exact"/>
        <w:jc w:val="center"/>
        <w:rPr>
          <w:rFonts w:hint="eastAsia" w:ascii="仿宋" w:hAnsi="仿宋" w:eastAsia="仿宋" w:cs="仿宋"/>
          <w:b/>
          <w:color w:val="0716DF"/>
          <w:sz w:val="36"/>
          <w:szCs w:val="36"/>
        </w:rPr>
      </w:pPr>
      <w:r>
        <w:rPr>
          <w:rFonts w:hint="eastAsia" w:ascii="仿宋" w:hAnsi="仿宋" w:eastAsia="仿宋" w:cs="仿宋"/>
          <w:b/>
          <w:color w:val="0716DF"/>
          <w:sz w:val="36"/>
          <w:szCs w:val="36"/>
          <w:lang w:eastAsia="zh-CN"/>
        </w:rPr>
        <w:t>采购</w:t>
      </w:r>
      <w:r>
        <w:rPr>
          <w:rFonts w:hint="eastAsia" w:ascii="仿宋" w:hAnsi="仿宋" w:eastAsia="仿宋" w:cs="仿宋"/>
          <w:b/>
          <w:color w:val="0716DF"/>
          <w:sz w:val="36"/>
          <w:szCs w:val="36"/>
        </w:rPr>
        <w:t>编号：【KRDL】K3-2512252</w:t>
      </w:r>
    </w:p>
    <w:p w14:paraId="55D48DA8">
      <w:pPr>
        <w:jc w:val="center"/>
        <w:rPr>
          <w:rFonts w:hint="eastAsia" w:ascii="仿宋" w:hAnsi="仿宋" w:eastAsia="仿宋" w:cs="仿宋"/>
          <w:color w:val="0716DF"/>
          <w:sz w:val="30"/>
          <w:szCs w:val="30"/>
        </w:rPr>
      </w:pPr>
    </w:p>
    <w:p w14:paraId="304F5C3B">
      <w:pPr>
        <w:jc w:val="center"/>
        <w:rPr>
          <w:rFonts w:hint="eastAsia" w:ascii="仿宋" w:hAnsi="仿宋" w:eastAsia="仿宋" w:cs="仿宋"/>
          <w:color w:val="0716DF"/>
          <w:sz w:val="30"/>
          <w:szCs w:val="30"/>
        </w:rPr>
      </w:pPr>
    </w:p>
    <w:p w14:paraId="5ED3B0AC">
      <w:pPr>
        <w:rPr>
          <w:rFonts w:hint="eastAsia" w:ascii="仿宋" w:hAnsi="仿宋" w:eastAsia="仿宋" w:cs="仿宋"/>
          <w:color w:val="0716DF"/>
          <w:sz w:val="30"/>
          <w:szCs w:val="30"/>
        </w:rPr>
      </w:pPr>
    </w:p>
    <w:p w14:paraId="56FE3929">
      <w:pPr>
        <w:jc w:val="center"/>
        <w:rPr>
          <w:rFonts w:hint="eastAsia" w:ascii="仿宋" w:hAnsi="仿宋" w:eastAsia="仿宋" w:cs="仿宋"/>
          <w:color w:val="0716DF"/>
          <w:sz w:val="30"/>
          <w:szCs w:val="30"/>
        </w:rPr>
      </w:pPr>
    </w:p>
    <w:p w14:paraId="33B7C9A1">
      <w:pPr>
        <w:ind w:firstLine="2080" w:firstLineChars="650"/>
        <w:rPr>
          <w:rFonts w:hint="eastAsia" w:ascii="仿宋" w:hAnsi="仿宋" w:eastAsia="仿宋" w:cs="仿宋"/>
          <w:color w:val="0716DF"/>
          <w:sz w:val="32"/>
          <w:szCs w:val="32"/>
        </w:rPr>
      </w:pPr>
      <w:r>
        <w:rPr>
          <w:rFonts w:hint="eastAsia" w:ascii="仿宋" w:hAnsi="仿宋" w:eastAsia="仿宋" w:cs="仿宋"/>
          <w:color w:val="0716DF"/>
          <w:sz w:val="32"/>
          <w:szCs w:val="32"/>
        </w:rPr>
        <w:t>甲  方：西安市第三医院</w:t>
      </w:r>
    </w:p>
    <w:p w14:paraId="1F1294E2">
      <w:pPr>
        <w:tabs>
          <w:tab w:val="left" w:pos="480"/>
        </w:tabs>
        <w:ind w:firstLine="640" w:firstLineChars="200"/>
        <w:rPr>
          <w:rFonts w:hint="eastAsia" w:ascii="仿宋" w:hAnsi="仿宋" w:eastAsia="仿宋" w:cs="仿宋"/>
          <w:color w:val="0716DF"/>
          <w:sz w:val="32"/>
          <w:szCs w:val="32"/>
        </w:rPr>
      </w:pPr>
      <w:r>
        <w:rPr>
          <w:rFonts w:hint="eastAsia" w:ascii="仿宋" w:hAnsi="仿宋" w:eastAsia="仿宋" w:cs="仿宋"/>
          <w:color w:val="0716DF"/>
          <w:sz w:val="32"/>
          <w:szCs w:val="32"/>
        </w:rPr>
        <w:t xml:space="preserve">         乙  方：</w:t>
      </w:r>
    </w:p>
    <w:p w14:paraId="22F6C781">
      <w:pPr>
        <w:rPr>
          <w:rFonts w:hint="eastAsia" w:ascii="仿宋" w:hAnsi="仿宋" w:eastAsia="仿宋" w:cs="仿宋"/>
          <w:color w:val="0716DF"/>
          <w:sz w:val="32"/>
          <w:szCs w:val="32"/>
        </w:rPr>
      </w:pPr>
      <w:r>
        <w:rPr>
          <w:rFonts w:hint="eastAsia" w:ascii="仿宋" w:hAnsi="仿宋" w:eastAsia="仿宋" w:cs="仿宋"/>
          <w:color w:val="0716DF"/>
          <w:sz w:val="32"/>
          <w:szCs w:val="32"/>
        </w:rPr>
        <w:t xml:space="preserve">             </w:t>
      </w:r>
    </w:p>
    <w:p w14:paraId="6F46A58C">
      <w:pPr>
        <w:jc w:val="center"/>
        <w:rPr>
          <w:rFonts w:hint="eastAsia" w:ascii="仿宋" w:hAnsi="仿宋" w:eastAsia="仿宋" w:cs="仿宋"/>
          <w:color w:val="0716DF"/>
          <w:sz w:val="30"/>
          <w:szCs w:val="30"/>
        </w:rPr>
      </w:pPr>
    </w:p>
    <w:p w14:paraId="5A429064">
      <w:pPr>
        <w:jc w:val="center"/>
        <w:rPr>
          <w:rFonts w:hint="eastAsia" w:ascii="仿宋" w:hAnsi="仿宋" w:eastAsia="仿宋" w:cs="仿宋"/>
          <w:color w:val="0716DF"/>
          <w:sz w:val="32"/>
          <w:szCs w:val="32"/>
        </w:rPr>
      </w:pPr>
      <w:r>
        <w:rPr>
          <w:rFonts w:hint="eastAsia" w:ascii="仿宋" w:hAnsi="仿宋" w:eastAsia="仿宋" w:cs="仿宋"/>
          <w:color w:val="0716DF"/>
          <w:sz w:val="32"/>
          <w:szCs w:val="32"/>
        </w:rPr>
        <w:t xml:space="preserve">年 </w:t>
      </w:r>
      <w:r>
        <w:rPr>
          <w:rFonts w:hint="eastAsia" w:ascii="仿宋" w:hAnsi="仿宋" w:eastAsia="仿宋" w:cs="仿宋"/>
          <w:color w:val="0716DF"/>
          <w:sz w:val="32"/>
          <w:szCs w:val="32"/>
          <w:lang w:eastAsia="zh-CN"/>
        </w:rPr>
        <w:t xml:space="preserve">   </w:t>
      </w:r>
      <w:r>
        <w:rPr>
          <w:rFonts w:hint="eastAsia" w:ascii="仿宋" w:hAnsi="仿宋" w:eastAsia="仿宋" w:cs="仿宋"/>
          <w:color w:val="0716DF"/>
          <w:sz w:val="32"/>
          <w:szCs w:val="32"/>
        </w:rPr>
        <w:t>月</w:t>
      </w:r>
    </w:p>
    <w:p w14:paraId="5BF9BD4C">
      <w:pPr>
        <w:jc w:val="center"/>
        <w:rPr>
          <w:rFonts w:hint="eastAsia" w:ascii="仿宋" w:hAnsi="仿宋" w:eastAsia="仿宋" w:cs="仿宋"/>
          <w:color w:val="0716DF"/>
          <w:sz w:val="32"/>
          <w:szCs w:val="32"/>
        </w:rPr>
      </w:pPr>
      <w:r>
        <w:rPr>
          <w:rFonts w:hint="eastAsia" w:ascii="仿宋" w:hAnsi="仿宋" w:eastAsia="仿宋" w:cs="仿宋"/>
          <w:color w:val="0716DF"/>
          <w:sz w:val="32"/>
          <w:szCs w:val="32"/>
        </w:rPr>
        <w:t>中国  西安</w:t>
      </w:r>
    </w:p>
    <w:p w14:paraId="67F5EE7C">
      <w:pPr>
        <w:widowControl/>
        <w:jc w:val="left"/>
        <w:rPr>
          <w:rFonts w:hint="eastAsia" w:ascii="仿宋" w:hAnsi="仿宋" w:eastAsia="仿宋" w:cs="仿宋"/>
          <w:b/>
          <w:color w:val="0716DF"/>
          <w:sz w:val="32"/>
          <w:szCs w:val="32"/>
        </w:rPr>
      </w:pPr>
      <w:r>
        <w:rPr>
          <w:rFonts w:hint="eastAsia" w:ascii="仿宋" w:hAnsi="仿宋" w:eastAsia="仿宋" w:cs="仿宋"/>
          <w:b/>
          <w:color w:val="0716DF"/>
          <w:sz w:val="32"/>
          <w:szCs w:val="32"/>
        </w:rPr>
        <w:br w:type="page"/>
      </w:r>
    </w:p>
    <w:p w14:paraId="7416F840">
      <w:pPr>
        <w:spacing w:line="360" w:lineRule="auto"/>
        <w:jc w:val="center"/>
        <w:rPr>
          <w:rFonts w:hint="eastAsia" w:ascii="仿宋" w:hAnsi="仿宋" w:eastAsia="仿宋" w:cs="仿宋"/>
          <w:b/>
          <w:color w:val="0716DF"/>
          <w:sz w:val="32"/>
          <w:szCs w:val="32"/>
        </w:rPr>
      </w:pPr>
      <w:r>
        <w:rPr>
          <w:rFonts w:hint="eastAsia" w:ascii="仿宋" w:hAnsi="仿宋" w:eastAsia="仿宋" w:cs="仿宋"/>
          <w:b/>
          <w:color w:val="0716DF"/>
          <w:sz w:val="32"/>
          <w:szCs w:val="32"/>
        </w:rPr>
        <w:t>供 货 合 同</w:t>
      </w:r>
    </w:p>
    <w:p w14:paraId="64040880">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甲方：西安市第三医院</w:t>
      </w:r>
    </w:p>
    <w:p w14:paraId="0CC55602">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住所地：西安市凤城三路东段10号</w:t>
      </w:r>
    </w:p>
    <w:p w14:paraId="51CC6D21">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法定代表人：杨军乐</w:t>
      </w:r>
    </w:p>
    <w:p w14:paraId="1A608FDA">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联系方式：029-61816199</w:t>
      </w:r>
    </w:p>
    <w:p w14:paraId="29D62800">
      <w:pPr>
        <w:spacing w:line="360" w:lineRule="auto"/>
        <w:ind w:firstLine="480" w:firstLineChars="200"/>
        <w:rPr>
          <w:rFonts w:hint="eastAsia" w:ascii="仿宋" w:hAnsi="仿宋" w:eastAsia="仿宋" w:cs="仿宋"/>
          <w:color w:val="0716DF"/>
          <w:sz w:val="24"/>
          <w:szCs w:val="24"/>
          <w:lang w:eastAsia="zh-CN"/>
        </w:rPr>
      </w:pPr>
      <w:r>
        <w:rPr>
          <w:rFonts w:hint="eastAsia" w:ascii="仿宋" w:hAnsi="仿宋" w:eastAsia="仿宋" w:cs="仿宋"/>
          <w:color w:val="0716DF"/>
          <w:sz w:val="24"/>
          <w:szCs w:val="24"/>
        </w:rPr>
        <w:t>乙方：</w:t>
      </w:r>
      <w:r>
        <w:rPr>
          <w:rFonts w:hint="eastAsia" w:ascii="仿宋" w:hAnsi="仿宋" w:eastAsia="仿宋" w:cs="仿宋"/>
          <w:color w:val="0716DF"/>
          <w:sz w:val="24"/>
          <w:szCs w:val="24"/>
          <w:lang w:eastAsia="zh-CN"/>
        </w:rPr>
        <w:t xml:space="preserve">                </w:t>
      </w:r>
    </w:p>
    <w:p w14:paraId="560E8A13">
      <w:pPr>
        <w:spacing w:line="360" w:lineRule="auto"/>
        <w:ind w:firstLine="480" w:firstLineChars="200"/>
        <w:rPr>
          <w:rFonts w:hint="eastAsia" w:ascii="仿宋" w:hAnsi="仿宋" w:eastAsia="仿宋" w:cs="仿宋"/>
          <w:color w:val="0716DF"/>
          <w:sz w:val="24"/>
          <w:szCs w:val="24"/>
          <w:lang w:eastAsia="zh-CN"/>
        </w:rPr>
      </w:pPr>
      <w:r>
        <w:rPr>
          <w:rFonts w:hint="eastAsia" w:ascii="仿宋" w:hAnsi="仿宋" w:eastAsia="仿宋" w:cs="仿宋"/>
          <w:color w:val="0716DF"/>
          <w:sz w:val="24"/>
          <w:szCs w:val="24"/>
        </w:rPr>
        <w:t>住所地：</w:t>
      </w:r>
      <w:r>
        <w:rPr>
          <w:rFonts w:hint="eastAsia" w:ascii="仿宋" w:hAnsi="仿宋" w:eastAsia="仿宋" w:cs="仿宋"/>
          <w:color w:val="0716DF"/>
          <w:sz w:val="24"/>
          <w:szCs w:val="24"/>
          <w:lang w:eastAsia="zh-CN"/>
        </w:rPr>
        <w:t xml:space="preserve">                          </w:t>
      </w:r>
    </w:p>
    <w:p w14:paraId="51894AD5">
      <w:pPr>
        <w:spacing w:line="360" w:lineRule="auto"/>
        <w:ind w:firstLine="480" w:firstLineChars="200"/>
        <w:rPr>
          <w:rFonts w:hint="eastAsia" w:ascii="仿宋" w:hAnsi="仿宋" w:eastAsia="仿宋" w:cs="仿宋"/>
          <w:color w:val="0716DF"/>
          <w:sz w:val="24"/>
          <w:szCs w:val="24"/>
          <w:lang w:eastAsia="zh-CN"/>
        </w:rPr>
      </w:pPr>
      <w:r>
        <w:rPr>
          <w:rFonts w:hint="eastAsia" w:ascii="仿宋" w:hAnsi="仿宋" w:eastAsia="仿宋" w:cs="仿宋"/>
          <w:color w:val="0716DF"/>
          <w:sz w:val="24"/>
          <w:szCs w:val="24"/>
        </w:rPr>
        <w:t>法定代表人：</w:t>
      </w:r>
      <w:r>
        <w:rPr>
          <w:rFonts w:hint="eastAsia" w:ascii="仿宋" w:hAnsi="仿宋" w:eastAsia="仿宋" w:cs="仿宋"/>
          <w:color w:val="0716DF"/>
          <w:sz w:val="24"/>
          <w:szCs w:val="24"/>
          <w:lang w:eastAsia="zh-CN"/>
        </w:rPr>
        <w:t xml:space="preserve">     </w:t>
      </w:r>
    </w:p>
    <w:p w14:paraId="75E929EC">
      <w:pPr>
        <w:spacing w:line="360" w:lineRule="auto"/>
        <w:ind w:firstLine="480" w:firstLineChars="200"/>
        <w:rPr>
          <w:rFonts w:hint="eastAsia" w:ascii="仿宋" w:hAnsi="仿宋" w:eastAsia="仿宋" w:cs="仿宋"/>
          <w:color w:val="0716DF"/>
          <w:sz w:val="24"/>
          <w:szCs w:val="24"/>
          <w:lang w:eastAsia="zh-CN"/>
        </w:rPr>
      </w:pPr>
      <w:r>
        <w:rPr>
          <w:rFonts w:hint="eastAsia" w:ascii="仿宋" w:hAnsi="仿宋" w:eastAsia="仿宋" w:cs="仿宋"/>
          <w:color w:val="0716DF"/>
          <w:sz w:val="24"/>
          <w:szCs w:val="24"/>
        </w:rPr>
        <w:t>联系方式：</w:t>
      </w:r>
      <w:r>
        <w:rPr>
          <w:rFonts w:hint="eastAsia" w:ascii="仿宋" w:hAnsi="仿宋" w:eastAsia="仿宋" w:cs="仿宋"/>
          <w:color w:val="0716DF"/>
          <w:sz w:val="24"/>
          <w:szCs w:val="24"/>
          <w:lang w:eastAsia="zh-CN"/>
        </w:rPr>
        <w:t xml:space="preserve">                    </w:t>
      </w:r>
    </w:p>
    <w:p w14:paraId="3D820881">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西安市第三医院（以下简称甲方）所需本合同项目下的医疗设备，在西安市财政局政府采购管理处的监督管理下，由</w:t>
      </w:r>
      <w:r>
        <w:rPr>
          <w:rFonts w:hint="eastAsia" w:ascii="仿宋" w:hAnsi="仿宋" w:eastAsia="仿宋" w:cs="仿宋"/>
          <w:color w:val="0716DF"/>
          <w:sz w:val="24"/>
          <w:szCs w:val="24"/>
          <w:u w:val="single"/>
          <w:lang w:val="en-US" w:eastAsia="zh-CN"/>
        </w:rPr>
        <w:t>开瑞项目管理有限公司</w:t>
      </w:r>
      <w:r>
        <w:rPr>
          <w:rFonts w:hint="eastAsia" w:ascii="仿宋" w:hAnsi="仿宋" w:eastAsia="仿宋" w:cs="仿宋"/>
          <w:color w:val="0716DF"/>
          <w:sz w:val="24"/>
          <w:szCs w:val="24"/>
        </w:rPr>
        <w:t>（以下简称</w:t>
      </w:r>
      <w:r>
        <w:rPr>
          <w:rFonts w:hint="eastAsia" w:ascii="仿宋" w:hAnsi="仿宋" w:eastAsia="仿宋" w:cs="仿宋"/>
          <w:color w:val="0716DF"/>
          <w:sz w:val="24"/>
          <w:szCs w:val="24"/>
          <w:lang w:eastAsia="zh-CN"/>
        </w:rPr>
        <w:t>采购代理机构</w:t>
      </w:r>
      <w:r>
        <w:rPr>
          <w:rFonts w:hint="eastAsia" w:ascii="仿宋" w:hAnsi="仿宋" w:eastAsia="仿宋" w:cs="仿宋"/>
          <w:color w:val="0716DF"/>
          <w:sz w:val="24"/>
          <w:szCs w:val="24"/>
        </w:rPr>
        <w:t>）按照政府采购程序组织</w:t>
      </w:r>
      <w:r>
        <w:rPr>
          <w:rFonts w:hint="eastAsia" w:ascii="仿宋" w:hAnsi="仿宋" w:eastAsia="仿宋" w:cs="仿宋"/>
          <w:color w:val="0716DF"/>
          <w:sz w:val="24"/>
          <w:szCs w:val="24"/>
          <w:lang w:eastAsia="zh-CN"/>
        </w:rPr>
        <w:t>竞争性磋商</w:t>
      </w:r>
      <w:r>
        <w:rPr>
          <w:rFonts w:hint="eastAsia" w:ascii="仿宋" w:hAnsi="仿宋" w:eastAsia="仿宋" w:cs="仿宋"/>
          <w:color w:val="0716DF"/>
          <w:sz w:val="24"/>
          <w:szCs w:val="24"/>
        </w:rPr>
        <w:t>，确定</w:t>
      </w:r>
      <w:r>
        <w:rPr>
          <w:rFonts w:hint="eastAsia" w:ascii="仿宋" w:hAnsi="仿宋" w:eastAsia="仿宋" w:cs="仿宋"/>
          <w:color w:val="0716DF"/>
          <w:sz w:val="24"/>
          <w:szCs w:val="24"/>
          <w:u w:val="single"/>
          <w:lang w:eastAsia="zh-CN"/>
        </w:rPr>
        <w:t xml:space="preserve">                    </w:t>
      </w:r>
      <w:r>
        <w:rPr>
          <w:rFonts w:hint="eastAsia" w:ascii="仿宋" w:hAnsi="仿宋" w:eastAsia="仿宋" w:cs="仿宋"/>
          <w:color w:val="0716DF"/>
          <w:sz w:val="24"/>
          <w:szCs w:val="24"/>
        </w:rPr>
        <w:t>（以下简称乙方）为</w:t>
      </w:r>
      <w:r>
        <w:rPr>
          <w:rFonts w:hint="eastAsia" w:ascii="仿宋" w:hAnsi="仿宋" w:eastAsia="仿宋" w:cs="仿宋"/>
          <w:color w:val="0716DF"/>
          <w:sz w:val="24"/>
          <w:szCs w:val="24"/>
          <w:lang w:val="en-US" w:eastAsia="zh-CN"/>
        </w:rPr>
        <w:t>成交供应商</w:t>
      </w:r>
      <w:r>
        <w:rPr>
          <w:rFonts w:hint="eastAsia" w:ascii="仿宋" w:hAnsi="仿宋" w:eastAsia="仿宋" w:cs="仿宋"/>
          <w:color w:val="0716DF"/>
          <w:sz w:val="24"/>
          <w:szCs w:val="24"/>
        </w:rPr>
        <w:t>。依据《中华人民共和国政府采购法》、《中华人民共和国民法典》以及</w:t>
      </w:r>
      <w:r>
        <w:rPr>
          <w:rFonts w:hint="eastAsia" w:ascii="仿宋" w:hAnsi="仿宋" w:eastAsia="仿宋" w:cs="仿宋"/>
          <w:color w:val="0716DF"/>
          <w:sz w:val="24"/>
          <w:szCs w:val="24"/>
          <w:lang w:eastAsia="zh-CN"/>
        </w:rPr>
        <w:t>采购代理机构</w:t>
      </w:r>
      <w:r>
        <w:rPr>
          <w:rFonts w:hint="eastAsia" w:ascii="仿宋" w:hAnsi="仿宋" w:eastAsia="仿宋" w:cs="仿宋"/>
          <w:color w:val="0716DF"/>
          <w:sz w:val="24"/>
          <w:szCs w:val="24"/>
        </w:rPr>
        <w:t>的</w:t>
      </w:r>
      <w:r>
        <w:rPr>
          <w:rFonts w:hint="eastAsia" w:ascii="仿宋" w:hAnsi="仿宋" w:eastAsia="仿宋" w:cs="仿宋"/>
          <w:color w:val="0716DF"/>
          <w:sz w:val="24"/>
          <w:szCs w:val="24"/>
          <w:lang w:eastAsia="zh-CN"/>
        </w:rPr>
        <w:t>竞争性磋商文件</w:t>
      </w: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成交供应商响应文件</w:t>
      </w:r>
      <w:r>
        <w:rPr>
          <w:rFonts w:hint="eastAsia" w:ascii="仿宋" w:hAnsi="仿宋" w:eastAsia="仿宋" w:cs="仿宋"/>
          <w:color w:val="0716DF"/>
          <w:sz w:val="24"/>
          <w:szCs w:val="24"/>
        </w:rPr>
        <w:t>正本和澄清表（函）、</w:t>
      </w:r>
      <w:r>
        <w:rPr>
          <w:rFonts w:hint="eastAsia" w:ascii="仿宋" w:hAnsi="仿宋" w:eastAsia="仿宋" w:cs="仿宋"/>
          <w:color w:val="0716DF"/>
          <w:sz w:val="24"/>
          <w:szCs w:val="24"/>
          <w:lang w:eastAsia="zh-CN"/>
        </w:rPr>
        <w:t>中标（成交）</w:t>
      </w:r>
      <w:r>
        <w:rPr>
          <w:rFonts w:hint="eastAsia" w:ascii="仿宋" w:hAnsi="仿宋" w:eastAsia="仿宋" w:cs="仿宋"/>
          <w:color w:val="0716DF"/>
          <w:sz w:val="24"/>
          <w:szCs w:val="24"/>
        </w:rPr>
        <w:t>通知书，经甲、乙双方协商，达成如下条款。</w:t>
      </w:r>
    </w:p>
    <w:p w14:paraId="5619F27E">
      <w:pPr>
        <w:pStyle w:val="6"/>
        <w:numPr>
          <w:ilvl w:val="0"/>
          <w:numId w:val="1"/>
        </w:numPr>
        <w:tabs>
          <w:tab w:val="left" w:pos="480"/>
        </w:tabs>
        <w:spacing w:line="360" w:lineRule="auto"/>
        <w:ind w:firstLineChars="0"/>
        <w:rPr>
          <w:rFonts w:hint="eastAsia" w:ascii="仿宋" w:hAnsi="仿宋" w:eastAsia="仿宋" w:cs="仿宋"/>
          <w:color w:val="0716DF"/>
          <w:sz w:val="24"/>
        </w:rPr>
      </w:pPr>
      <w:r>
        <w:rPr>
          <w:rFonts w:hint="eastAsia" w:ascii="仿宋" w:hAnsi="仿宋" w:eastAsia="仿宋" w:cs="仿宋"/>
          <w:b/>
          <w:color w:val="0716DF"/>
          <w:sz w:val="24"/>
        </w:rPr>
        <w:t>合同标的物内容</w:t>
      </w:r>
      <w:r>
        <w:rPr>
          <w:rFonts w:hint="eastAsia" w:ascii="仿宋" w:hAnsi="仿宋" w:eastAsia="仿宋" w:cs="仿宋"/>
          <w:color w:val="0716DF"/>
          <w:sz w:val="24"/>
        </w:rPr>
        <w:t>（以</w:t>
      </w:r>
      <w:r>
        <w:rPr>
          <w:rFonts w:hint="eastAsia" w:ascii="仿宋" w:hAnsi="仿宋" w:eastAsia="仿宋" w:cs="仿宋"/>
          <w:color w:val="0716DF"/>
          <w:sz w:val="24"/>
          <w:lang w:eastAsia="zh-CN"/>
        </w:rPr>
        <w:t>响应文件</w:t>
      </w:r>
      <w:r>
        <w:rPr>
          <w:rFonts w:hint="eastAsia" w:ascii="仿宋" w:hAnsi="仿宋" w:eastAsia="仿宋" w:cs="仿宋"/>
          <w:color w:val="0716DF"/>
          <w:sz w:val="24"/>
        </w:rPr>
        <w:t>正本和澄清表〈函〉为准，标的物分项清单规格标准详见附件一、附件二、）</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457"/>
        <w:gridCol w:w="1704"/>
        <w:gridCol w:w="1705"/>
        <w:gridCol w:w="1705"/>
      </w:tblGrid>
      <w:tr w14:paraId="72DB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058AB54E">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标的物名称</w:t>
            </w:r>
          </w:p>
        </w:tc>
        <w:tc>
          <w:tcPr>
            <w:tcW w:w="1457" w:type="dxa"/>
          </w:tcPr>
          <w:p w14:paraId="4CFFC720">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品牌</w:t>
            </w:r>
          </w:p>
        </w:tc>
        <w:tc>
          <w:tcPr>
            <w:tcW w:w="1704" w:type="dxa"/>
          </w:tcPr>
          <w:p w14:paraId="3F0DB5DA">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数量</w:t>
            </w:r>
          </w:p>
        </w:tc>
        <w:tc>
          <w:tcPr>
            <w:tcW w:w="1705" w:type="dxa"/>
          </w:tcPr>
          <w:p w14:paraId="2593220A">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金额（万元）</w:t>
            </w:r>
          </w:p>
        </w:tc>
        <w:tc>
          <w:tcPr>
            <w:tcW w:w="1705" w:type="dxa"/>
          </w:tcPr>
          <w:p w14:paraId="3A888E6A">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质保期（年）</w:t>
            </w:r>
          </w:p>
        </w:tc>
      </w:tr>
      <w:tr w14:paraId="771B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4194ED22">
            <w:pPr>
              <w:tabs>
                <w:tab w:val="left" w:pos="480"/>
              </w:tabs>
              <w:spacing w:line="360" w:lineRule="auto"/>
              <w:rPr>
                <w:rFonts w:hint="eastAsia" w:ascii="仿宋" w:hAnsi="仿宋" w:eastAsia="仿宋" w:cs="仿宋"/>
                <w:color w:val="0716DF"/>
                <w:sz w:val="24"/>
                <w:szCs w:val="22"/>
              </w:rPr>
            </w:pPr>
            <w:r>
              <w:rPr>
                <w:rFonts w:hint="eastAsia" w:ascii="仿宋" w:hAnsi="仿宋" w:eastAsia="仿宋" w:cs="仿宋"/>
                <w:color w:val="0716DF"/>
                <w:sz w:val="24"/>
                <w:szCs w:val="22"/>
              </w:rPr>
              <w:t>超声系统</w:t>
            </w:r>
          </w:p>
        </w:tc>
        <w:tc>
          <w:tcPr>
            <w:tcW w:w="1457" w:type="dxa"/>
          </w:tcPr>
          <w:p w14:paraId="7026FD49">
            <w:pPr>
              <w:tabs>
                <w:tab w:val="left" w:pos="480"/>
              </w:tabs>
              <w:spacing w:line="360" w:lineRule="auto"/>
              <w:rPr>
                <w:rFonts w:hint="eastAsia" w:ascii="仿宋" w:hAnsi="仿宋" w:eastAsia="仿宋" w:cs="仿宋"/>
                <w:color w:val="0716DF"/>
                <w:sz w:val="24"/>
                <w:szCs w:val="22"/>
              </w:rPr>
            </w:pPr>
            <w:r>
              <w:rPr>
                <w:rFonts w:hint="eastAsia" w:ascii="仿宋" w:hAnsi="仿宋" w:eastAsia="仿宋" w:cs="仿宋"/>
                <w:color w:val="0716DF"/>
                <w:sz w:val="24"/>
                <w:szCs w:val="22"/>
              </w:rPr>
              <w:t>国产/进口</w:t>
            </w:r>
          </w:p>
        </w:tc>
        <w:tc>
          <w:tcPr>
            <w:tcW w:w="1704" w:type="dxa"/>
          </w:tcPr>
          <w:p w14:paraId="6F3CA7A1">
            <w:pPr>
              <w:tabs>
                <w:tab w:val="left" w:pos="480"/>
              </w:tabs>
              <w:spacing w:line="360" w:lineRule="auto"/>
              <w:jc w:val="center"/>
              <w:rPr>
                <w:rFonts w:hint="default" w:ascii="仿宋" w:hAnsi="仿宋" w:eastAsia="仿宋" w:cs="仿宋"/>
                <w:color w:val="0716DF"/>
                <w:sz w:val="24"/>
                <w:szCs w:val="22"/>
                <w:lang w:val="en-US" w:eastAsia="zh-CN"/>
              </w:rPr>
            </w:pPr>
            <w:r>
              <w:rPr>
                <w:rFonts w:hint="eastAsia" w:ascii="仿宋" w:hAnsi="仿宋" w:eastAsia="仿宋" w:cs="仿宋"/>
                <w:color w:val="0716DF"/>
                <w:sz w:val="24"/>
                <w:szCs w:val="22"/>
                <w:lang w:val="en-US" w:eastAsia="zh-CN"/>
              </w:rPr>
              <w:t>1台</w:t>
            </w:r>
          </w:p>
        </w:tc>
        <w:tc>
          <w:tcPr>
            <w:tcW w:w="1705" w:type="dxa"/>
          </w:tcPr>
          <w:p w14:paraId="363BEE08">
            <w:pPr>
              <w:tabs>
                <w:tab w:val="left" w:pos="480"/>
              </w:tabs>
              <w:spacing w:line="360" w:lineRule="auto"/>
              <w:rPr>
                <w:rFonts w:hint="eastAsia" w:ascii="仿宋" w:hAnsi="仿宋" w:eastAsia="仿宋" w:cs="仿宋"/>
                <w:color w:val="0716DF"/>
                <w:sz w:val="24"/>
                <w:szCs w:val="22"/>
              </w:rPr>
            </w:pPr>
          </w:p>
        </w:tc>
        <w:tc>
          <w:tcPr>
            <w:tcW w:w="1705" w:type="dxa"/>
          </w:tcPr>
          <w:p w14:paraId="4ECFBBCE">
            <w:pPr>
              <w:tabs>
                <w:tab w:val="left" w:pos="480"/>
              </w:tabs>
              <w:spacing w:line="360" w:lineRule="auto"/>
              <w:rPr>
                <w:rFonts w:hint="eastAsia" w:ascii="仿宋" w:hAnsi="仿宋" w:eastAsia="仿宋" w:cs="仿宋"/>
                <w:color w:val="0716DF"/>
                <w:sz w:val="24"/>
                <w:szCs w:val="22"/>
              </w:rPr>
            </w:pPr>
          </w:p>
        </w:tc>
      </w:tr>
      <w:tr w14:paraId="46C6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522" w:type="dxa"/>
            <w:gridSpan w:val="5"/>
          </w:tcPr>
          <w:p w14:paraId="251D1B8A">
            <w:pPr>
              <w:tabs>
                <w:tab w:val="left" w:pos="480"/>
              </w:tabs>
              <w:spacing w:line="360" w:lineRule="auto"/>
              <w:ind w:left="108"/>
              <w:rPr>
                <w:rFonts w:hint="eastAsia" w:ascii="仿宋" w:hAnsi="仿宋" w:eastAsia="仿宋" w:cs="仿宋"/>
                <w:color w:val="0716DF"/>
                <w:sz w:val="24"/>
                <w:szCs w:val="22"/>
              </w:rPr>
            </w:pPr>
            <w:r>
              <w:rPr>
                <w:rFonts w:hint="eastAsia" w:ascii="仿宋" w:hAnsi="仿宋" w:eastAsia="仿宋" w:cs="仿宋"/>
                <w:color w:val="0716DF"/>
                <w:sz w:val="28"/>
                <w:szCs w:val="22"/>
              </w:rPr>
              <w:t>货物价款合计（大写）：</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8"/>
                <w:szCs w:val="22"/>
              </w:rPr>
              <w:t xml:space="preserve"> ¥：（</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8"/>
                <w:szCs w:val="22"/>
              </w:rPr>
              <w:t>万元）</w:t>
            </w:r>
          </w:p>
        </w:tc>
      </w:tr>
    </w:tbl>
    <w:p w14:paraId="161778D9">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二、合同价款</w:t>
      </w:r>
    </w:p>
    <w:p w14:paraId="17B0E7AE">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（一）合同总价款为人民币（大写）</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4"/>
          <w:szCs w:val="24"/>
        </w:rPr>
        <w:t>（￥</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4"/>
          <w:szCs w:val="24"/>
        </w:rPr>
        <w:t>万元）。</w:t>
      </w:r>
    </w:p>
    <w:p w14:paraId="319A4E1A">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（二）合同总价包括：货物费、原厂维修保养服务费、运输费（含保险费）、装卸、安装调试费、检测验收、培训、技术服务及其它全部费用。</w:t>
      </w:r>
    </w:p>
    <w:p w14:paraId="4E885069">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（三）合同总价一次性包死，不受市场价格变化因素的影响。</w:t>
      </w:r>
    </w:p>
    <w:p w14:paraId="2B378442">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三、款项结算</w:t>
      </w:r>
    </w:p>
    <w:p w14:paraId="7D655971">
      <w:pPr>
        <w:widowControl/>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（一）合同签订后，乙方须按其</w:t>
      </w:r>
      <w:r>
        <w:rPr>
          <w:rFonts w:hint="eastAsia" w:ascii="仿宋" w:hAnsi="仿宋" w:eastAsia="仿宋" w:cs="仿宋"/>
          <w:color w:val="0716DF"/>
          <w:sz w:val="24"/>
          <w:szCs w:val="24"/>
          <w:lang w:eastAsia="zh-CN"/>
        </w:rPr>
        <w:t>响应文件</w:t>
      </w:r>
      <w:r>
        <w:rPr>
          <w:rFonts w:hint="eastAsia" w:ascii="仿宋" w:hAnsi="仿宋" w:eastAsia="仿宋" w:cs="仿宋"/>
          <w:color w:val="0716DF"/>
          <w:sz w:val="24"/>
          <w:szCs w:val="24"/>
        </w:rPr>
        <w:t>中响应的交货期按时交货并提供全额合规发票保证“货票同行”，设备到达甲方指定地点，安装、调试完毕并验收合格后，甲方支付合同总价款的95% ，即人民币（大写）</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4"/>
          <w:szCs w:val="24"/>
        </w:rPr>
        <w:t>（￥</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4"/>
          <w:szCs w:val="24"/>
        </w:rPr>
        <w:t>万元）。若乙方届时未提供全额合规发票，甲方付款期限顺延，且不承担任何责任。</w:t>
      </w:r>
    </w:p>
    <w:p w14:paraId="46F4BAFC">
      <w:pPr>
        <w:widowControl/>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（二）合同总价的剩余部分 ，即人民币（大写）</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4"/>
          <w:szCs w:val="24"/>
        </w:rPr>
        <w:t>元整（￥</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4"/>
          <w:szCs w:val="24"/>
        </w:rPr>
        <w:t>万元），验收合格之日起，三年后甲方一次性无息支付。</w:t>
      </w:r>
    </w:p>
    <w:p w14:paraId="03C9D957">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（三）支付方式：银行转账。</w:t>
      </w:r>
    </w:p>
    <w:p w14:paraId="5AF26DCD">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（四）结算方式：</w:t>
      </w:r>
    </w:p>
    <w:p w14:paraId="46A3E02A">
      <w:pPr>
        <w:tabs>
          <w:tab w:val="left" w:pos="480"/>
        </w:tabs>
        <w:spacing w:line="360" w:lineRule="auto"/>
        <w:ind w:firstLine="240" w:firstLineChars="100"/>
        <w:jc w:val="left"/>
        <w:rPr>
          <w:rFonts w:hint="eastAsia" w:ascii="仿宋" w:hAnsi="仿宋" w:eastAsia="仿宋" w:cs="仿宋"/>
          <w:color w:val="0716DF"/>
          <w:sz w:val="24"/>
          <w:szCs w:val="24"/>
        </w:rPr>
      </w:pPr>
      <w:r>
        <w:rPr>
          <w:rFonts w:hint="eastAsia" w:ascii="仿宋" w:hAnsi="仿宋" w:eastAsia="仿宋" w:cs="仿宋"/>
          <w:color w:val="0716DF"/>
          <w:sz w:val="24"/>
          <w:szCs w:val="24"/>
        </w:rPr>
        <w:t>货物结算：乙方持货物验收合格单，全额合规发票（按合同标的物中的货物全款开甲方），</w:t>
      </w:r>
      <w:r>
        <w:rPr>
          <w:rFonts w:hint="eastAsia" w:ascii="仿宋" w:hAnsi="仿宋" w:eastAsia="仿宋" w:cs="仿宋"/>
          <w:color w:val="0716DF"/>
          <w:sz w:val="24"/>
          <w:szCs w:val="24"/>
          <w:lang w:eastAsia="zh-CN"/>
        </w:rPr>
        <w:t>中标（成交）</w:t>
      </w:r>
      <w:r>
        <w:rPr>
          <w:rFonts w:hint="eastAsia" w:ascii="仿宋" w:hAnsi="仿宋" w:eastAsia="仿宋" w:cs="仿宋"/>
          <w:color w:val="0716DF"/>
          <w:sz w:val="24"/>
          <w:szCs w:val="24"/>
        </w:rPr>
        <w:t>通知书、供货合同，与甲方结算。</w:t>
      </w:r>
    </w:p>
    <w:p w14:paraId="374DCF9F">
      <w:pPr>
        <w:tabs>
          <w:tab w:val="left" w:pos="480"/>
        </w:tabs>
        <w:spacing w:line="360" w:lineRule="auto"/>
        <w:ind w:firstLine="120" w:firstLineChars="50"/>
        <w:jc w:val="left"/>
        <w:rPr>
          <w:rFonts w:hint="eastAsia" w:ascii="仿宋" w:hAnsi="仿宋" w:eastAsia="仿宋" w:cs="仿宋"/>
          <w:color w:val="0716DF"/>
          <w:sz w:val="24"/>
          <w:szCs w:val="24"/>
        </w:rPr>
      </w:pPr>
      <w:r>
        <w:rPr>
          <w:rFonts w:hint="eastAsia" w:ascii="仿宋" w:hAnsi="仿宋" w:eastAsia="仿宋" w:cs="仿宋"/>
          <w:color w:val="0716DF"/>
          <w:sz w:val="24"/>
          <w:szCs w:val="24"/>
        </w:rPr>
        <w:t>服务结算：乙方持维修保养服务验收合格单，全额合规发票（按合同标的物中的原厂维修保养服务全款开甲方），货物验收单，供货合同，与甲方结算。</w:t>
      </w:r>
    </w:p>
    <w:p w14:paraId="445402A5">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四、交货条件：</w:t>
      </w:r>
    </w:p>
    <w:p w14:paraId="12371830">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（一）交货地点：西安市第三医院指定地点。</w:t>
      </w:r>
    </w:p>
    <w:p w14:paraId="6042E8B5">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（二）交货期：</w:t>
      </w:r>
    </w:p>
    <w:p w14:paraId="6FC49354">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    1、交货期：合同签订后国产设备</w:t>
      </w:r>
      <w:r>
        <w:rPr>
          <w:rFonts w:hint="eastAsia" w:ascii="仿宋" w:hAnsi="仿宋" w:eastAsia="仿宋" w:cs="仿宋"/>
          <w:color w:val="0716DF"/>
          <w:sz w:val="24"/>
          <w:szCs w:val="24"/>
          <w:u w:val="single"/>
          <w:lang w:eastAsia="zh-CN"/>
        </w:rPr>
        <w:t xml:space="preserve">  </w:t>
      </w:r>
      <w:r>
        <w:rPr>
          <w:rFonts w:hint="eastAsia" w:ascii="仿宋" w:hAnsi="仿宋" w:eastAsia="仿宋" w:cs="仿宋"/>
          <w:color w:val="0716DF"/>
          <w:sz w:val="24"/>
          <w:szCs w:val="24"/>
        </w:rPr>
        <w:t>个日历日；进口设备</w:t>
      </w:r>
      <w:r>
        <w:rPr>
          <w:rFonts w:hint="eastAsia" w:ascii="仿宋" w:hAnsi="仿宋" w:eastAsia="仿宋" w:cs="仿宋"/>
          <w:color w:val="0716DF"/>
          <w:sz w:val="24"/>
          <w:szCs w:val="24"/>
          <w:u w:val="single"/>
          <w:lang w:eastAsia="zh-CN"/>
        </w:rPr>
        <w:t xml:space="preserve">  </w:t>
      </w:r>
      <w:r>
        <w:rPr>
          <w:rFonts w:hint="eastAsia" w:ascii="仿宋" w:hAnsi="仿宋" w:eastAsia="仿宋" w:cs="仿宋"/>
          <w:color w:val="0716DF"/>
          <w:sz w:val="24"/>
          <w:szCs w:val="24"/>
        </w:rPr>
        <w:t>个日历日。不得延期。</w:t>
      </w:r>
    </w:p>
    <w:p w14:paraId="25B92604">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    2、合同签订后，乙方即刻派遣场地工程师到达安装现场勘察，协助甲方基建规划完成场地建设，按照供货期要求组织货物到达、安装事宜。场地不满足安装验收条件时，由乙方保存货物，费用由乙方全部承担。</w:t>
      </w:r>
    </w:p>
    <w:p w14:paraId="17F55229">
      <w:pPr>
        <w:tabs>
          <w:tab w:val="left" w:pos="480"/>
        </w:tabs>
        <w:spacing w:line="360" w:lineRule="auto"/>
        <w:ind w:firstLine="480" w:firstLineChars="200"/>
        <w:jc w:val="left"/>
        <w:rPr>
          <w:rFonts w:hint="eastAsia" w:ascii="仿宋" w:hAnsi="仿宋" w:eastAsia="仿宋" w:cs="仿宋"/>
          <w:color w:val="0716DF"/>
          <w:sz w:val="24"/>
          <w:szCs w:val="24"/>
        </w:rPr>
      </w:pPr>
      <w:r>
        <w:rPr>
          <w:rFonts w:hint="eastAsia" w:ascii="仿宋" w:hAnsi="仿宋" w:eastAsia="仿宋" w:cs="仿宋"/>
          <w:color w:val="0716DF"/>
          <w:sz w:val="24"/>
          <w:szCs w:val="24"/>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4281E019">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五、运输</w:t>
      </w:r>
    </w:p>
    <w:p w14:paraId="6D40852A">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（一）运输由乙方负责，运杂费已包含在合同总价内，包括从货物供应地点至交货地点所含的运输费、装卸费、仓储费、保险费等全部费用。</w:t>
      </w:r>
    </w:p>
    <w:p w14:paraId="531D59F2">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（二）运输方式由乙方自行选择，但必须保证按期交货。</w:t>
      </w:r>
    </w:p>
    <w:p w14:paraId="3FD8AFFE">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（三）因运输产生的一切风险及质量问题均由乙方承担。</w:t>
      </w:r>
    </w:p>
    <w:p w14:paraId="7ADAA1EB">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六、质量保证</w:t>
      </w:r>
    </w:p>
    <w:p w14:paraId="40096E4F">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乙方所供货物必须执行下列条款：</w:t>
      </w:r>
    </w:p>
    <w:p w14:paraId="0516ACA2">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（一）保证技术指标先进、产品全新、质量性能可靠、进货渠道正常，配置合理，全面满足</w:t>
      </w:r>
      <w:r>
        <w:rPr>
          <w:rFonts w:hint="eastAsia" w:ascii="仿宋" w:hAnsi="仿宋" w:eastAsia="仿宋" w:cs="仿宋"/>
          <w:color w:val="0716DF"/>
          <w:sz w:val="24"/>
          <w:szCs w:val="24"/>
          <w:lang w:eastAsia="zh-CN"/>
        </w:rPr>
        <w:t>竞争性磋商文件</w:t>
      </w:r>
      <w:r>
        <w:rPr>
          <w:rFonts w:hint="eastAsia" w:ascii="仿宋" w:hAnsi="仿宋" w:eastAsia="仿宋" w:cs="仿宋"/>
          <w:color w:val="0716DF"/>
          <w:sz w:val="24"/>
          <w:szCs w:val="24"/>
        </w:rPr>
        <w:t>要求。</w:t>
      </w:r>
    </w:p>
    <w:p w14:paraId="71425E01">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（二）符合国家有关规范要求和标准，确保达到最佳运行状态，对于由于产品设计、工艺或材料的缺陷而产生的质量问题负责。</w:t>
      </w:r>
    </w:p>
    <w:p w14:paraId="0AC214F2">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（三）具有良好的外观，适合安装场所的使用。</w:t>
      </w:r>
    </w:p>
    <w:p w14:paraId="71E3FC19">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（四）自安装、调试正常运行并验收合格之日起：</w:t>
      </w:r>
    </w:p>
    <w:p w14:paraId="4DED7705">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1、原厂维修保养服务：提供原厂免费质保</w:t>
      </w:r>
      <w:r>
        <w:rPr>
          <w:rFonts w:hint="eastAsia" w:ascii="仿宋" w:hAnsi="仿宋" w:eastAsia="仿宋" w:cs="仿宋"/>
          <w:color w:val="0716DF"/>
          <w:sz w:val="24"/>
          <w:szCs w:val="24"/>
          <w:lang w:eastAsia="zh-CN"/>
        </w:rPr>
        <w:t xml:space="preserve"> </w:t>
      </w:r>
      <w:r>
        <w:rPr>
          <w:rFonts w:hint="eastAsia" w:ascii="仿宋" w:hAnsi="仿宋" w:eastAsia="仿宋" w:cs="仿宋"/>
          <w:color w:val="0716DF"/>
          <w:sz w:val="24"/>
          <w:szCs w:val="24"/>
        </w:rPr>
        <w:t>年（提供原厂保修协议），同一主要部件出现质量问题经过两次维修后仍无法正常使用的，甲方有权立即要求乙方免费更换同型号、同规格的产品，服务响应时间及解决方案按照本合同第七条“售后服务”中的约定执行；若乙方未按照上述约定期限内及时解决问题,造成甲方损失扩大的,乙方应就损失扩大部分承担全部赔偿责任。终身免费维护。</w:t>
      </w:r>
    </w:p>
    <w:p w14:paraId="24866330">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2、30天内，如出现质量问题，甲方可以选择换货或退货；</w:t>
      </w:r>
    </w:p>
    <w:p w14:paraId="2A2400DA">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3、7天内，如出现质量问题，甲方可选择换货。</w:t>
      </w:r>
    </w:p>
    <w:p w14:paraId="43BD1663">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（五）保证设备后期可与甲方各类信息化网络系统免费无缝链接</w:t>
      </w:r>
    </w:p>
    <w:p w14:paraId="6870B0F4">
      <w:pPr>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七、售后服务</w:t>
      </w:r>
    </w:p>
    <w:p w14:paraId="0966CA68">
      <w:pPr>
        <w:spacing w:line="360" w:lineRule="auto"/>
        <w:ind w:firstLine="480" w:firstLineChars="200"/>
        <w:rPr>
          <w:rFonts w:hint="eastAsia" w:ascii="仿宋" w:hAnsi="仿宋" w:eastAsia="仿宋" w:cs="仿宋"/>
          <w:b/>
          <w:color w:val="0716DF"/>
          <w:sz w:val="24"/>
          <w:szCs w:val="24"/>
        </w:rPr>
      </w:pPr>
      <w:r>
        <w:rPr>
          <w:rFonts w:hint="eastAsia" w:ascii="仿宋" w:hAnsi="仿宋" w:eastAsia="仿宋" w:cs="仿宋"/>
          <w:color w:val="0716DF"/>
          <w:sz w:val="24"/>
          <w:szCs w:val="24"/>
        </w:rPr>
        <w:t>乙方为所供货物提供以下售后服务：</w:t>
      </w:r>
    </w:p>
    <w:p w14:paraId="67D29D6B">
      <w:pPr>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（一）原厂维修保养服务期内：</w:t>
      </w:r>
    </w:p>
    <w:p w14:paraId="090FC154">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1、发生质量问题，接到甲方通知后，应于2小时内派出专业的维修人员到现场进行检测维修，发生的全部费用由乙方承担，若需送回生产厂，乙方承担由此产生的一切费用；</w:t>
      </w:r>
    </w:p>
    <w:p w14:paraId="5DEBCB25">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2、每年四次派技术人员到现场走访，给予检查维护；</w:t>
      </w:r>
    </w:p>
    <w:p w14:paraId="419113C3">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3、排除故障的期限不超过24小时。否则甲方有权指定第三方维修，维修费用由乙方承担，直接从原厂维修保养服务费用中扣除，此项费用已付或无法支付全部维修费用的，超出部分由乙方另行承担。</w:t>
      </w:r>
    </w:p>
    <w:p w14:paraId="4912C073">
      <w:pPr>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（二）服务期结束前，乙方进行系统测试，全面保养维护，确保正常运行。</w:t>
      </w:r>
    </w:p>
    <w:p w14:paraId="2EDE4126">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八、技术与服务</w:t>
      </w:r>
    </w:p>
    <w:p w14:paraId="203641D6">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（一）技术资料：</w:t>
      </w:r>
    </w:p>
    <w:p w14:paraId="0F3BD02B">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1、货物合格证；</w:t>
      </w:r>
    </w:p>
    <w:p w14:paraId="3F67B084">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2、货物使用说明书（中文）；</w:t>
      </w:r>
    </w:p>
    <w:p w14:paraId="37E3A254">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3、进口货物商检证明和报关单；</w:t>
      </w:r>
    </w:p>
    <w:p w14:paraId="42AA56AE">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4、乙方提供相关部门出具的检验测试报告；</w:t>
      </w:r>
    </w:p>
    <w:p w14:paraId="2C8EA307">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5、其它资料。</w:t>
      </w:r>
    </w:p>
    <w:p w14:paraId="49D51AA4">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（二）培训：乙方须在设备安装调试完成后对甲方操作人员进行完整使用、保养等培训，是否完成培训视为货物验收必备条件之一；</w:t>
      </w:r>
    </w:p>
    <w:p w14:paraId="0A65AE0B">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（三）服务承诺：以</w:t>
      </w:r>
      <w:r>
        <w:rPr>
          <w:rFonts w:hint="eastAsia" w:ascii="仿宋" w:hAnsi="仿宋" w:eastAsia="仿宋" w:cs="仿宋"/>
          <w:color w:val="0716DF"/>
          <w:sz w:val="24"/>
          <w:szCs w:val="24"/>
          <w:lang w:eastAsia="zh-CN"/>
        </w:rPr>
        <w:t>响应文件</w:t>
      </w:r>
      <w:r>
        <w:rPr>
          <w:rFonts w:hint="eastAsia" w:ascii="仿宋" w:hAnsi="仿宋" w:eastAsia="仿宋" w:cs="仿宋"/>
          <w:color w:val="0716DF"/>
          <w:sz w:val="24"/>
          <w:szCs w:val="24"/>
        </w:rPr>
        <w:t>、澄清表（函）、合同和随货物的相关文件为准。</w:t>
      </w:r>
    </w:p>
    <w:p w14:paraId="3D109874">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九、验收</w:t>
      </w:r>
    </w:p>
    <w:p w14:paraId="20134695">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（一）货物到达甲方指定地点后，甲方根据合同要求，进行外观验收，确认产地、规格、型号和数量。甲乙双方需在约定的时间和地点共同开箱检验。</w:t>
      </w:r>
    </w:p>
    <w:p w14:paraId="5EF6718C">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（二）货物安装、调试过程中，属于国家计量法规定需要检测的设备及配件，乙方需提供计量检测部门的检测报告，属于特种设备的，乙方需办理注册登记和使用许可，而后能够正常使用时书面通知甲方。</w:t>
      </w:r>
    </w:p>
    <w:p w14:paraId="2DB0209D">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（三）乙方向甲方提交原厂质保证明文件，要求覆盖乙方所承诺的全部原厂维修保养服务期限。</w:t>
      </w:r>
    </w:p>
    <w:p w14:paraId="3DD8BE61">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（四）甲方确认接收乙方的自检内容后，进行验收，验收合格后，由乙方对甲方操作人员进行培训，完成培训后，甲方填写</w:t>
      </w:r>
      <w:r>
        <w:rPr>
          <w:rFonts w:hint="eastAsia" w:ascii="仿宋" w:hAnsi="仿宋" w:eastAsia="仿宋" w:cs="仿宋"/>
          <w:bCs/>
          <w:color w:val="0716DF"/>
          <w:sz w:val="24"/>
          <w:szCs w:val="24"/>
        </w:rPr>
        <w:t>验收单</w:t>
      </w:r>
      <w:r>
        <w:rPr>
          <w:rFonts w:hint="eastAsia" w:ascii="仿宋" w:hAnsi="仿宋" w:eastAsia="仿宋" w:cs="仿宋"/>
          <w:color w:val="0716DF"/>
          <w:sz w:val="24"/>
          <w:szCs w:val="24"/>
        </w:rPr>
        <w:t>作为对货物的最终认可。</w:t>
      </w:r>
    </w:p>
    <w:p w14:paraId="3483B65D">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（五）乙方向甲方提交货物实施过程中的所有资料，以便甲方日后管理和维护。</w:t>
      </w:r>
    </w:p>
    <w:p w14:paraId="39397542">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bCs/>
          <w:color w:val="0716DF"/>
          <w:sz w:val="24"/>
          <w:szCs w:val="24"/>
        </w:rPr>
        <w:t>（六）</w:t>
      </w:r>
      <w:r>
        <w:rPr>
          <w:rFonts w:hint="eastAsia" w:ascii="仿宋" w:hAnsi="仿宋" w:eastAsia="仿宋" w:cs="仿宋"/>
          <w:color w:val="0716DF"/>
          <w:sz w:val="24"/>
          <w:szCs w:val="24"/>
        </w:rPr>
        <w:t>验收依据：</w:t>
      </w:r>
    </w:p>
    <w:p w14:paraId="48B08DAF">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1、本合同及合同附件。</w:t>
      </w:r>
    </w:p>
    <w:p w14:paraId="126B2EA9">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2、国家相应的标准、规范。</w:t>
      </w:r>
    </w:p>
    <w:p w14:paraId="2E1BBB83">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3、竞争性</w:t>
      </w:r>
      <w:r>
        <w:rPr>
          <w:rFonts w:hint="eastAsia" w:ascii="仿宋" w:hAnsi="仿宋" w:eastAsia="仿宋" w:cs="仿宋"/>
          <w:color w:val="0716DF"/>
          <w:sz w:val="24"/>
          <w:szCs w:val="24"/>
          <w:lang w:eastAsia="zh-CN"/>
        </w:rPr>
        <w:t>竞争性磋商文件</w:t>
      </w: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响应文件</w:t>
      </w:r>
      <w:r>
        <w:rPr>
          <w:rFonts w:hint="eastAsia" w:ascii="仿宋" w:hAnsi="仿宋" w:eastAsia="仿宋" w:cs="仿宋"/>
          <w:color w:val="0716DF"/>
          <w:sz w:val="24"/>
          <w:szCs w:val="24"/>
        </w:rPr>
        <w:t>、澄清表（函）。</w:t>
      </w:r>
    </w:p>
    <w:p w14:paraId="083C7206">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十、违约责任</w:t>
      </w:r>
    </w:p>
    <w:p w14:paraId="4ED671E7">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（一）按《政府采购法》、《中华人民共和国民法典》中的相关条款执行。</w:t>
      </w:r>
    </w:p>
    <w:p w14:paraId="4A7B413F">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（二）未按合同要求提供货物、质保服务或质量不能满足</w:t>
      </w:r>
      <w:r>
        <w:rPr>
          <w:rFonts w:hint="eastAsia" w:ascii="仿宋" w:hAnsi="仿宋" w:eastAsia="仿宋" w:cs="仿宋"/>
          <w:color w:val="0716DF"/>
          <w:sz w:val="24"/>
          <w:szCs w:val="24"/>
          <w:lang w:eastAsia="zh-CN"/>
        </w:rPr>
        <w:t>竞争性磋商文件</w:t>
      </w:r>
      <w:r>
        <w:rPr>
          <w:rFonts w:hint="eastAsia" w:ascii="仿宋" w:hAnsi="仿宋" w:eastAsia="仿宋" w:cs="仿宋"/>
          <w:color w:val="0716DF"/>
          <w:sz w:val="24"/>
          <w:szCs w:val="24"/>
        </w:rPr>
        <w:t>技术要求，在约定的条件下，乙方必须无条件更换，提高技术，完善质量，提供质保服务，否则，甲方有权解除合同，解除合同书面通知书到达乙方之日视为合同已解除，并按以下两种方式追究乙方的违约责任：</w:t>
      </w:r>
    </w:p>
    <w:p w14:paraId="3B5E124E">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1、乙方赔偿甲方解除合同的全部损失（包括但不限于重新采购产生的费用、合同未履行导致设备不能按规划交付使用可能产生的租赁费用及其它由此造成的甲方对第三方的违约损失）；</w:t>
      </w:r>
    </w:p>
    <w:p w14:paraId="1887DAC9">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2、乙方支付甲方违约金，违约金计算方法：以合同总价为基数，支付甲方合同总价的30%为违约金，同时，对乙方的违约行为报监管机构进行相应的处罚。</w:t>
      </w:r>
    </w:p>
    <w:p w14:paraId="331B74F6">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十一、合同争议解决的方式</w:t>
      </w:r>
    </w:p>
    <w:p w14:paraId="21927EC5">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本合同在履行过程中发生的争议，由甲、乙双方当事人协商解决，协商不成的依法向甲方所在地人民法院起诉。</w:t>
      </w:r>
    </w:p>
    <w:p w14:paraId="45D13363">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十二、合同生效</w:t>
      </w:r>
    </w:p>
    <w:p w14:paraId="1BA5618B">
      <w:pPr>
        <w:tabs>
          <w:tab w:val="left" w:pos="480"/>
        </w:tabs>
        <w:spacing w:line="360" w:lineRule="auto"/>
        <w:ind w:firstLine="480" w:firstLineChars="200"/>
        <w:rPr>
          <w:rFonts w:hint="eastAsia" w:ascii="仿宋" w:hAnsi="仿宋" w:eastAsia="仿宋" w:cs="仿宋"/>
          <w:color w:val="0716DF"/>
          <w:sz w:val="24"/>
          <w:szCs w:val="24"/>
        </w:rPr>
      </w:pPr>
      <w:bookmarkStart w:id="0" w:name="_Hlk527448041"/>
      <w:r>
        <w:rPr>
          <w:rFonts w:hint="eastAsia" w:ascii="仿宋" w:hAnsi="仿宋" w:eastAsia="仿宋" w:cs="仿宋"/>
          <w:color w:val="0716DF"/>
          <w:sz w:val="24"/>
          <w:szCs w:val="24"/>
        </w:rPr>
        <w:t>本合同一式</w:t>
      </w:r>
      <w:r>
        <w:rPr>
          <w:rFonts w:hint="eastAsia" w:ascii="仿宋" w:hAnsi="仿宋" w:eastAsia="仿宋" w:cs="仿宋"/>
          <w:color w:val="0716DF"/>
          <w:sz w:val="24"/>
          <w:szCs w:val="24"/>
          <w:lang w:eastAsia="zh-CN"/>
        </w:rPr>
        <w:t>伍</w:t>
      </w:r>
      <w:r>
        <w:rPr>
          <w:rFonts w:hint="eastAsia" w:ascii="仿宋" w:hAnsi="仿宋" w:eastAsia="仿宋" w:cs="仿宋"/>
          <w:color w:val="0716DF"/>
          <w:sz w:val="24"/>
          <w:szCs w:val="24"/>
        </w:rPr>
        <w:t>份，甲方肆份，乙方壹份，本合同自甲方、乙方</w:t>
      </w:r>
      <w:r>
        <w:rPr>
          <w:rFonts w:hint="eastAsia" w:ascii="仿宋" w:hAnsi="仿宋" w:eastAsia="仿宋" w:cs="仿宋"/>
          <w:color w:val="0716DF"/>
          <w:sz w:val="24"/>
          <w:szCs w:val="24"/>
          <w:lang w:eastAsia="zh-CN"/>
        </w:rPr>
        <w:t>双</w:t>
      </w:r>
      <w:r>
        <w:rPr>
          <w:rFonts w:hint="eastAsia" w:ascii="仿宋" w:hAnsi="仿宋" w:eastAsia="仿宋" w:cs="仿宋"/>
          <w:color w:val="0716DF"/>
          <w:sz w:val="24"/>
          <w:szCs w:val="24"/>
        </w:rPr>
        <w:t>方签字盖章之日起生效，原厂维修保养服务期结束后，自动终止（但合同的服务承诺除外）。</w:t>
      </w:r>
    </w:p>
    <w:bookmarkEnd w:id="0"/>
    <w:p w14:paraId="6CCD14B8">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十三、其他事项</w:t>
      </w:r>
    </w:p>
    <w:p w14:paraId="4888DED4">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一</w:t>
      </w:r>
      <w:r>
        <w:rPr>
          <w:rFonts w:hint="eastAsia" w:ascii="仿宋" w:hAnsi="仿宋" w:eastAsia="仿宋" w:cs="仿宋"/>
          <w:color w:val="0716DF"/>
          <w:sz w:val="24"/>
          <w:szCs w:val="24"/>
        </w:rPr>
        <w:t>）西安市财政局政府采购管理处在合同的履行期间以及履行期后，可以随时检查项目的执行情况，对采购内容、标准进行调查核实，并对发现的问题进行处理。</w:t>
      </w:r>
    </w:p>
    <w:p w14:paraId="6B61B0E0">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二</w:t>
      </w: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竞争性磋商文件</w:t>
      </w: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响应文件</w:t>
      </w:r>
      <w:r>
        <w:rPr>
          <w:rFonts w:hint="eastAsia" w:ascii="仿宋" w:hAnsi="仿宋" w:eastAsia="仿宋" w:cs="仿宋"/>
          <w:color w:val="0716DF"/>
          <w:sz w:val="24"/>
          <w:szCs w:val="24"/>
        </w:rPr>
        <w:t>、澄清表（函）、</w:t>
      </w:r>
      <w:r>
        <w:rPr>
          <w:rFonts w:hint="eastAsia" w:ascii="仿宋" w:hAnsi="仿宋" w:eastAsia="仿宋" w:cs="仿宋"/>
          <w:color w:val="0716DF"/>
          <w:sz w:val="24"/>
          <w:szCs w:val="24"/>
          <w:lang w:eastAsia="zh-CN"/>
        </w:rPr>
        <w:t>中标（成交）</w:t>
      </w:r>
      <w:r>
        <w:rPr>
          <w:rFonts w:hint="eastAsia" w:ascii="仿宋" w:hAnsi="仿宋" w:eastAsia="仿宋" w:cs="仿宋"/>
          <w:color w:val="0716DF"/>
          <w:sz w:val="24"/>
          <w:szCs w:val="24"/>
        </w:rPr>
        <w:t>通知书、合同附件均成为合同不可分割的部分。</w:t>
      </w:r>
    </w:p>
    <w:p w14:paraId="12C6F04D">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三</w:t>
      </w:r>
      <w:r>
        <w:rPr>
          <w:rFonts w:hint="eastAsia" w:ascii="仿宋" w:hAnsi="仿宋" w:eastAsia="仿宋" w:cs="仿宋"/>
          <w:color w:val="0716DF"/>
          <w:sz w:val="24"/>
          <w:szCs w:val="24"/>
        </w:rPr>
        <w:t>）合同未尽事宜，由甲、乙双方协商，签订补充协议，与本合同具有同等法律效力。补充协议与本合同不一致的，以补充协议为准。</w:t>
      </w:r>
    </w:p>
    <w:p w14:paraId="5F75FE1D">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四</w:t>
      </w:r>
      <w:r>
        <w:rPr>
          <w:rFonts w:hint="eastAsia" w:ascii="仿宋" w:hAnsi="仿宋" w:eastAsia="仿宋" w:cs="仿宋"/>
          <w:color w:val="0716DF"/>
          <w:sz w:val="24"/>
          <w:szCs w:val="24"/>
        </w:rPr>
        <w:t>）合同一经签订，不得擅自变更、中止或终止合同。对确需变更、调整或中止、终止合同的，有法律规定的按照法律规定，除合同约定外，由甲乙双方再行协商，协商一致前，原合同或条款继续履行。</w:t>
      </w:r>
    </w:p>
    <w:p w14:paraId="60D8E64D">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五</w:t>
      </w:r>
      <w:r>
        <w:rPr>
          <w:rFonts w:hint="eastAsia" w:ascii="仿宋" w:hAnsi="仿宋" w:eastAsia="仿宋" w:cs="仿宋"/>
          <w:color w:val="0716DF"/>
          <w:sz w:val="24"/>
          <w:szCs w:val="24"/>
        </w:rPr>
        <w:t>）本合同按照中华人民共和国的现行法律进行解释。</w:t>
      </w:r>
    </w:p>
    <w:p w14:paraId="6CF7D7B9">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六</w:t>
      </w:r>
      <w:r>
        <w:rPr>
          <w:rFonts w:hint="eastAsia" w:ascii="仿宋" w:hAnsi="仿宋" w:eastAsia="仿宋" w:cs="仿宋"/>
          <w:color w:val="0716DF"/>
          <w:sz w:val="24"/>
          <w:szCs w:val="24"/>
        </w:rPr>
        <w:t>）本合同附件作为本合同的组成部分，与本合同具有同等法律效力。</w:t>
      </w:r>
    </w:p>
    <w:p w14:paraId="745BA511">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（以下无正文）</w:t>
      </w:r>
    </w:p>
    <w:p w14:paraId="299EEB1C">
      <w:pPr>
        <w:tabs>
          <w:tab w:val="left" w:pos="480"/>
        </w:tabs>
        <w:spacing w:line="360" w:lineRule="auto"/>
        <w:rPr>
          <w:rFonts w:hint="eastAsia" w:ascii="仿宋" w:hAnsi="仿宋" w:eastAsia="仿宋" w:cs="仿宋"/>
          <w:color w:val="0716DF"/>
          <w:sz w:val="24"/>
          <w:szCs w:val="24"/>
        </w:rPr>
      </w:pPr>
    </w:p>
    <w:p w14:paraId="7B21C25C">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甲  方（法人公章）                  乙  方（法人公章）</w:t>
      </w:r>
    </w:p>
    <w:p w14:paraId="1D863147">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单位名称：西安市第三医院            单位名称:</w:t>
      </w:r>
    </w:p>
    <w:p w14:paraId="7CACF981">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地  址：西安市凤城三路东段10号     地  址：</w:t>
      </w:r>
    </w:p>
    <w:p w14:paraId="16AC15AC">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法定代表人：（签章）                 法定代表人：（签章） </w:t>
      </w:r>
    </w:p>
    <w:p w14:paraId="29EBF696">
      <w:pPr>
        <w:tabs>
          <w:tab w:val="left" w:pos="480"/>
        </w:tabs>
        <w:spacing w:line="360" w:lineRule="auto"/>
        <w:rPr>
          <w:rFonts w:hint="eastAsia" w:ascii="仿宋" w:hAnsi="仿宋" w:eastAsia="仿宋" w:cs="仿宋"/>
          <w:color w:val="0716DF"/>
          <w:sz w:val="24"/>
          <w:szCs w:val="24"/>
        </w:rPr>
      </w:pPr>
    </w:p>
    <w:p w14:paraId="4C7E4414">
      <w:pPr>
        <w:tabs>
          <w:tab w:val="left" w:pos="480"/>
        </w:tabs>
        <w:spacing w:line="360" w:lineRule="auto"/>
        <w:ind w:firstLine="3360" w:firstLineChars="1400"/>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        开户银行:</w:t>
      </w:r>
    </w:p>
    <w:p w14:paraId="2A811063">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                                    账   号：</w:t>
      </w:r>
    </w:p>
    <w:p w14:paraId="1A5943A2">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签订日期： 年  月  日               签订日期： 年  月  日</w:t>
      </w:r>
    </w:p>
    <w:p w14:paraId="726F0F49">
      <w:pPr>
        <w:tabs>
          <w:tab w:val="left" w:pos="480"/>
        </w:tabs>
        <w:spacing w:line="360" w:lineRule="auto"/>
        <w:ind w:firstLine="480" w:firstLineChars="200"/>
        <w:rPr>
          <w:rFonts w:hint="eastAsia" w:ascii="仿宋" w:hAnsi="仿宋" w:eastAsia="仿宋" w:cs="仿宋"/>
          <w:sz w:val="24"/>
          <w:szCs w:val="24"/>
        </w:rPr>
      </w:pPr>
    </w:p>
    <w:p w14:paraId="637481A3">
      <w:pPr>
        <w:pStyle w:val="5"/>
      </w:pPr>
      <w:r>
        <w:rPr>
          <w:rFonts w:ascii="仿宋_GB2312" w:hAnsi="仿宋_GB2312" w:eastAsia="仿宋_GB2312" w:cs="仿宋_GB2312"/>
        </w:rPr>
        <w:br w:type="page"/>
      </w:r>
    </w:p>
    <w:p w14:paraId="28F76C76">
      <w:pPr>
        <w:tabs>
          <w:tab w:val="left" w:pos="480"/>
        </w:tabs>
        <w:spacing w:line="360" w:lineRule="auto"/>
        <w:rPr>
          <w:rFonts w:hint="eastAsia" w:ascii="仿宋" w:hAnsi="仿宋" w:eastAsia="仿宋" w:cs="仿宋"/>
          <w:color w:val="0716DF"/>
          <w:sz w:val="24"/>
        </w:rPr>
      </w:pPr>
      <w:r>
        <w:rPr>
          <w:rFonts w:hint="eastAsia" w:ascii="仿宋" w:hAnsi="仿宋" w:eastAsia="仿宋" w:cs="仿宋"/>
          <w:color w:val="0716DF"/>
          <w:sz w:val="24"/>
        </w:rPr>
        <w:t>附件一：分项清单</w:t>
      </w:r>
    </w:p>
    <w:tbl>
      <w:tblPr>
        <w:tblStyle w:val="2"/>
        <w:tblW w:w="9133" w:type="dxa"/>
        <w:tblInd w:w="108" w:type="dxa"/>
        <w:tblLayout w:type="fixed"/>
        <w:tblCellMar>
          <w:top w:w="0" w:type="dxa"/>
          <w:left w:w="10" w:type="dxa"/>
          <w:bottom w:w="0" w:type="dxa"/>
          <w:right w:w="10" w:type="dxa"/>
        </w:tblCellMar>
      </w:tblPr>
      <w:tblGrid>
        <w:gridCol w:w="547"/>
        <w:gridCol w:w="1243"/>
        <w:gridCol w:w="1194"/>
        <w:gridCol w:w="1214"/>
        <w:gridCol w:w="1110"/>
        <w:gridCol w:w="735"/>
        <w:gridCol w:w="671"/>
        <w:gridCol w:w="1194"/>
        <w:gridCol w:w="1225"/>
      </w:tblGrid>
      <w:tr w14:paraId="133585C6">
        <w:tblPrEx>
          <w:tblCellMar>
            <w:top w:w="0" w:type="dxa"/>
            <w:left w:w="10" w:type="dxa"/>
            <w:bottom w:w="0" w:type="dxa"/>
            <w:right w:w="10" w:type="dxa"/>
          </w:tblCellMar>
        </w:tblPrEx>
        <w:trPr>
          <w:trHeight w:val="1456"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ECEB2">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序号</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3C7BE">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货物名称</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A124F">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lang w:eastAsia="zh-CN"/>
              </w:rPr>
              <w:t>品牌名称</w:t>
            </w: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D0FFC">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型号规格</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1988E">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生产厂家</w:t>
            </w: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47558">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产地</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2BDFC">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数量</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D1426">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单价</w:t>
            </w:r>
          </w:p>
          <w:p w14:paraId="6E57EB5B">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（万元）</w:t>
            </w: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17F4F">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总价</w:t>
            </w:r>
          </w:p>
          <w:p w14:paraId="6571A282">
            <w:pPr>
              <w:tabs>
                <w:tab w:val="left" w:pos="480"/>
              </w:tabs>
              <w:spacing w:line="360" w:lineRule="auto"/>
              <w:rPr>
                <w:rFonts w:hint="eastAsia" w:ascii="仿宋" w:hAnsi="仿宋" w:eastAsia="仿宋" w:cs="仿宋"/>
                <w:color w:val="0716DF"/>
                <w:szCs w:val="21"/>
              </w:rPr>
            </w:pPr>
            <w:r>
              <w:rPr>
                <w:rFonts w:hint="eastAsia" w:ascii="仿宋" w:hAnsi="仿宋" w:eastAsia="仿宋" w:cs="仿宋"/>
                <w:color w:val="0716DF"/>
                <w:szCs w:val="21"/>
              </w:rPr>
              <w:t>（万元）</w:t>
            </w:r>
          </w:p>
        </w:tc>
      </w:tr>
      <w:tr w14:paraId="46BD2D45">
        <w:tblPrEx>
          <w:tblCellMar>
            <w:top w:w="0" w:type="dxa"/>
            <w:left w:w="10" w:type="dxa"/>
            <w:bottom w:w="0" w:type="dxa"/>
            <w:right w:w="10" w:type="dxa"/>
          </w:tblCellMar>
        </w:tblPrEx>
        <w:trPr>
          <w:trHeight w:val="1039"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19764">
            <w:pPr>
              <w:tabs>
                <w:tab w:val="left" w:pos="480"/>
              </w:tabs>
              <w:spacing w:line="360" w:lineRule="auto"/>
              <w:jc w:val="center"/>
              <w:rPr>
                <w:rFonts w:hint="eastAsia" w:ascii="仿宋" w:hAnsi="仿宋" w:eastAsia="仿宋" w:cs="仿宋"/>
                <w:color w:val="0716DF"/>
              </w:rPr>
            </w:pPr>
            <w:r>
              <w:rPr>
                <w:rFonts w:hint="eastAsia" w:ascii="仿宋" w:hAnsi="仿宋" w:eastAsia="仿宋" w:cs="仿宋"/>
                <w:color w:val="0716DF"/>
                <w:sz w:val="24"/>
              </w:rPr>
              <w:t>1</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8B4F9">
            <w:pPr>
              <w:tabs>
                <w:tab w:val="left" w:pos="480"/>
              </w:tabs>
              <w:spacing w:line="360" w:lineRule="auto"/>
              <w:rPr>
                <w:rFonts w:hint="eastAsia" w:ascii="仿宋" w:hAnsi="仿宋" w:eastAsia="仿宋" w:cs="仿宋"/>
                <w:color w:val="0716DF"/>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F74F0">
            <w:pPr>
              <w:tabs>
                <w:tab w:val="left" w:pos="480"/>
              </w:tabs>
              <w:spacing w:line="360" w:lineRule="auto"/>
              <w:rPr>
                <w:rFonts w:hint="eastAsia" w:ascii="仿宋" w:hAnsi="仿宋" w:eastAsia="仿宋" w:cs="仿宋"/>
                <w:color w:val="0716DF"/>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6779D">
            <w:pPr>
              <w:tabs>
                <w:tab w:val="left" w:pos="480"/>
              </w:tabs>
              <w:spacing w:line="360" w:lineRule="auto"/>
              <w:rPr>
                <w:rFonts w:hint="eastAsia" w:ascii="仿宋" w:hAnsi="仿宋" w:eastAsia="仿宋" w:cs="仿宋"/>
                <w:color w:val="0716DF"/>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6B64">
            <w:pPr>
              <w:tabs>
                <w:tab w:val="left" w:pos="480"/>
              </w:tabs>
              <w:spacing w:line="360" w:lineRule="auto"/>
              <w:jc w:val="center"/>
              <w:rPr>
                <w:rFonts w:hint="eastAsia" w:ascii="仿宋" w:hAnsi="仿宋" w:eastAsia="仿宋" w:cs="仿宋"/>
                <w:color w:val="0716DF"/>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E71D6">
            <w:pPr>
              <w:tabs>
                <w:tab w:val="left" w:pos="480"/>
              </w:tabs>
              <w:spacing w:line="360" w:lineRule="auto"/>
              <w:jc w:val="center"/>
              <w:rPr>
                <w:rFonts w:hint="eastAsia" w:ascii="仿宋" w:hAnsi="仿宋" w:eastAsia="仿宋" w:cs="仿宋"/>
                <w:color w:val="0716DF"/>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F3D17">
            <w:pPr>
              <w:tabs>
                <w:tab w:val="left" w:pos="480"/>
              </w:tabs>
              <w:spacing w:line="360" w:lineRule="auto"/>
              <w:jc w:val="center"/>
              <w:rPr>
                <w:rFonts w:hint="eastAsia" w:ascii="仿宋" w:hAnsi="仿宋" w:eastAsia="仿宋" w:cs="仿宋"/>
                <w:color w:val="0716DF"/>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84B49">
            <w:pPr>
              <w:tabs>
                <w:tab w:val="left" w:pos="480"/>
              </w:tabs>
              <w:spacing w:line="360" w:lineRule="auto"/>
              <w:jc w:val="center"/>
              <w:rPr>
                <w:rFonts w:hint="eastAsia" w:ascii="仿宋" w:hAnsi="仿宋" w:eastAsia="仿宋" w:cs="仿宋"/>
                <w:color w:val="0716DF"/>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9F070">
            <w:pPr>
              <w:tabs>
                <w:tab w:val="left" w:pos="480"/>
              </w:tabs>
              <w:spacing w:line="360" w:lineRule="auto"/>
              <w:jc w:val="center"/>
              <w:rPr>
                <w:rFonts w:hint="eastAsia" w:ascii="仿宋" w:hAnsi="仿宋" w:eastAsia="仿宋" w:cs="仿宋"/>
                <w:color w:val="0716DF"/>
                <w:sz w:val="22"/>
              </w:rPr>
            </w:pPr>
          </w:p>
        </w:tc>
      </w:tr>
      <w:tr w14:paraId="3FFC3A2D">
        <w:tblPrEx>
          <w:tblCellMar>
            <w:top w:w="0" w:type="dxa"/>
            <w:left w:w="10" w:type="dxa"/>
            <w:bottom w:w="0" w:type="dxa"/>
            <w:right w:w="10" w:type="dxa"/>
          </w:tblCellMar>
        </w:tblPrEx>
        <w:trPr>
          <w:trHeight w:val="663" w:hRule="atLeast"/>
        </w:trPr>
        <w:tc>
          <w:tcPr>
            <w:tcW w:w="9133" w:type="dxa"/>
            <w:gridSpan w:val="9"/>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EC6428">
            <w:pPr>
              <w:tabs>
                <w:tab w:val="left" w:pos="480"/>
              </w:tabs>
              <w:spacing w:line="360" w:lineRule="auto"/>
              <w:jc w:val="left"/>
              <w:rPr>
                <w:rFonts w:hint="eastAsia" w:ascii="仿宋" w:hAnsi="仿宋" w:eastAsia="仿宋" w:cs="仿宋"/>
                <w:color w:val="0716DF"/>
              </w:rPr>
            </w:pPr>
            <w:r>
              <w:rPr>
                <w:rFonts w:hint="eastAsia" w:ascii="仿宋" w:hAnsi="仿宋" w:eastAsia="仿宋" w:cs="仿宋"/>
                <w:color w:val="0716DF"/>
                <w:sz w:val="28"/>
              </w:rPr>
              <w:t>货物价款合计（大写）：</w:t>
            </w:r>
            <w:r>
              <w:rPr>
                <w:rFonts w:hint="eastAsia" w:ascii="仿宋" w:hAnsi="仿宋" w:eastAsia="仿宋" w:cs="仿宋"/>
                <w:color w:val="0716DF"/>
                <w:sz w:val="28"/>
                <w:u w:val="single"/>
                <w:lang w:eastAsia="zh-CN"/>
              </w:rPr>
              <w:t xml:space="preserve">            </w:t>
            </w:r>
            <w:r>
              <w:rPr>
                <w:rFonts w:hint="eastAsia" w:ascii="仿宋" w:hAnsi="仿宋" w:eastAsia="仿宋" w:cs="仿宋"/>
                <w:color w:val="0716DF"/>
                <w:sz w:val="28"/>
              </w:rPr>
              <w:t xml:space="preserve"> ¥：（</w:t>
            </w:r>
            <w:r>
              <w:rPr>
                <w:rFonts w:hint="eastAsia" w:ascii="仿宋" w:hAnsi="仿宋" w:eastAsia="仿宋" w:cs="仿宋"/>
                <w:color w:val="0716DF"/>
                <w:sz w:val="28"/>
                <w:u w:val="single"/>
                <w:lang w:eastAsia="zh-CN"/>
              </w:rPr>
              <w:t xml:space="preserve">    </w:t>
            </w:r>
            <w:r>
              <w:rPr>
                <w:rFonts w:hint="eastAsia" w:ascii="仿宋" w:hAnsi="仿宋" w:eastAsia="仿宋" w:cs="仿宋"/>
                <w:color w:val="0716DF"/>
                <w:sz w:val="28"/>
              </w:rPr>
              <w:t>万元）</w:t>
            </w:r>
          </w:p>
        </w:tc>
      </w:tr>
    </w:tbl>
    <w:p w14:paraId="6A1CF111">
      <w:pPr>
        <w:tabs>
          <w:tab w:val="left" w:pos="480"/>
        </w:tabs>
        <w:spacing w:line="360" w:lineRule="auto"/>
        <w:rPr>
          <w:rFonts w:hint="eastAsia" w:ascii="仿宋" w:hAnsi="仿宋" w:eastAsia="仿宋" w:cs="仿宋"/>
          <w:color w:val="0716DF"/>
          <w:sz w:val="24"/>
        </w:rPr>
      </w:pPr>
      <w:r>
        <w:rPr>
          <w:rFonts w:hint="eastAsia" w:ascii="仿宋" w:hAnsi="仿宋" w:eastAsia="仿宋" w:cs="仿宋"/>
          <w:color w:val="0716DF"/>
          <w:sz w:val="24"/>
        </w:rPr>
        <w:t>附件</w:t>
      </w:r>
      <w:r>
        <w:rPr>
          <w:rFonts w:hint="eastAsia" w:ascii="仿宋" w:hAnsi="仿宋" w:eastAsia="仿宋" w:cs="仿宋"/>
          <w:color w:val="0716DF"/>
          <w:sz w:val="24"/>
          <w:lang w:eastAsia="zh-CN"/>
        </w:rPr>
        <w:t>二</w:t>
      </w:r>
      <w:r>
        <w:rPr>
          <w:rFonts w:hint="eastAsia" w:ascii="仿宋" w:hAnsi="仿宋" w:eastAsia="仿宋" w:cs="仿宋"/>
          <w:color w:val="0716DF"/>
          <w:sz w:val="24"/>
        </w:rPr>
        <w:t>：配置清单</w:t>
      </w:r>
    </w:p>
    <w:p w14:paraId="31FEBDE8">
      <w:pPr>
        <w:rPr>
          <w:rFonts w:ascii="宋体" w:hAnsi="宋体" w:cs="宋体"/>
          <w:color w:val="auto"/>
          <w:sz w:val="24"/>
          <w:szCs w:val="24"/>
        </w:rPr>
      </w:pPr>
    </w:p>
    <w:p w14:paraId="12EC037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E775A7"/>
    <w:multiLevelType w:val="multilevel"/>
    <w:tmpl w:val="45E775A7"/>
    <w:lvl w:ilvl="0" w:tentative="0">
      <w:start w:val="1"/>
      <w:numFmt w:val="japaneseCounting"/>
      <w:lvlText w:val="%1、"/>
      <w:lvlJc w:val="left"/>
      <w:pPr>
        <w:ind w:left="465" w:hanging="46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9305F"/>
    <w:rsid w:val="10E7235E"/>
    <w:rsid w:val="18493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2026-03-02T01:46:00Z</dcterms:created>
  <dc:creator>Administrator</dc:creator>
  <cp:lastModifiedBy>Administrator</cp:lastModifiedBy>
  <dcterms:modified xsi:type="dcterms:W3CDTF">2026-03-02T01:46:57Z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5923A3E2EE28426B920AB20C05374D80_11</vt:lpwstr>
  </property>
  <property fmtid="{D5CDD505-2E9C-101B-9397-08002B2CF9AE}" pid="4" name="KSOTemplateDocerSaveRecord">
    <vt:lpwstr>eyJoZGlkIjoiM2M3YzY2MTJlM2NiOWMzYTQ2OTAxM2ExNTQ1NzRkYTQiLCJ1c2VySWQiOiIxMjkzNTU3MjkzIn0=</vt:lpwstr>
  </property>
</Properties>
</file>