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版本号：HXGJXM2026-ZC-CS1030.1B120260622001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房屋建筑（含装饰装修）工程质量检查第三方技术服务·采购包1（二次）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HXGJXM2026-ZC-CS1030.1B1</w:t>
      </w:r>
      <w:r>
        <w:br/>
      </w:r>
      <w:r>
        <w:br/>
      </w:r>
      <w:r>
        <w:br/>
      </w:r>
    </w:p>
    <w:p>
      <w:pPr>
        <w:pStyle w:val="null3"/>
        <w:jc w:val="center"/>
        <w:outlineLvl w:val="2"/>
      </w:pPr>
      <w:r>
        <w:rPr>
          <w:rFonts w:ascii="仿宋_GB2312" w:hAnsi="仿宋_GB2312" w:cs="仿宋_GB2312" w:eastAsia="仿宋_GB2312"/>
          <w:sz w:val="28"/>
          <w:b/>
        </w:rPr>
        <w:t>西安市雁塔区住房和城乡建设局</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西安市雁塔区住房和城乡建设局</w:t>
      </w:r>
      <w:r>
        <w:rPr>
          <w:rFonts w:ascii="仿宋_GB2312" w:hAnsi="仿宋_GB2312" w:cs="仿宋_GB2312" w:eastAsia="仿宋_GB2312"/>
        </w:rPr>
        <w:t>委托，拟对</w:t>
      </w:r>
      <w:r>
        <w:rPr>
          <w:rFonts w:ascii="仿宋_GB2312" w:hAnsi="仿宋_GB2312" w:cs="仿宋_GB2312" w:eastAsia="仿宋_GB2312"/>
        </w:rPr>
        <w:t>房屋建筑（含装饰装修）工程质量检查第三方技术服务·采购包1（二次）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HXGJXM2026-ZC-CS1030.1B1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房屋建筑（含装饰装修）工程质量检查第三方技术服务·采购包1（二次）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对辖区在建房屋建筑（含装饰装修）及市政基础设施项目质量监督工作提供第三方技术服务，具体服务区域以采购人指定的区域为准。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采购包1（房屋建筑（含装饰装修）工程质量检查第三方技术服务（东区））：属于专门面向中小企业采购。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磋商截止日前一年内已缴存的至少一个月的社会保障资金凭证),法定代表人直接参加磋商,须提供法定代表人身份证明及身份证复印件;</w:t>
      </w:r>
    </w:p>
    <w:p>
      <w:pPr>
        <w:pStyle w:val="null3"/>
      </w:pPr>
      <w:r>
        <w:rPr>
          <w:rFonts w:ascii="仿宋_GB2312" w:hAnsi="仿宋_GB2312" w:cs="仿宋_GB2312" w:eastAsia="仿宋_GB2312"/>
        </w:rPr>
        <w:t>2、供应商资质：建设行政主管部门颁发的工程监理综合资质或具备房屋建筑工程监理乙级及以上资质；</w:t>
      </w:r>
    </w:p>
    <w:p>
      <w:pPr>
        <w:pStyle w:val="null3"/>
      </w:pPr>
      <w:r>
        <w:rPr>
          <w:rFonts w:ascii="仿宋_GB2312" w:hAnsi="仿宋_GB2312" w:cs="仿宋_GB2312" w:eastAsia="仿宋_GB2312"/>
        </w:rPr>
        <w:t>3、项目负责人证书：项目负责人具有注册监理工程师执业资格；</w:t>
      </w:r>
    </w:p>
    <w:p>
      <w:pPr>
        <w:pStyle w:val="null3"/>
      </w:pPr>
      <w:r>
        <w:rPr>
          <w:rFonts w:ascii="仿宋_GB2312" w:hAnsi="仿宋_GB2312" w:cs="仿宋_GB2312" w:eastAsia="仿宋_GB2312"/>
        </w:rPr>
        <w:t>4、信用记录：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p>
      <w:pPr>
        <w:pStyle w:val="null3"/>
      </w:pPr>
      <w:r>
        <w:rPr>
          <w:rFonts w:ascii="仿宋_GB2312" w:hAnsi="仿宋_GB2312" w:cs="仿宋_GB2312" w:eastAsia="仿宋_GB2312"/>
        </w:rPr>
        <w:t>5、联合体：本采购包不接受联合体磋商。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西安市翠华路146号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029-83692930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029-88899970/72/73/75-802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招标代理服务收费管理暂行办法》（计价格[2002]1980号）的通知和国家发展和改革委员会办公厅颁发的《关于招标代理服务收费有关问题的通知》（发改办价格[2003]857号）的有关规定执行。 2.成交单位在领取成交通知书前,须向采购代理机构一次性支付招标代理服务费。 3.招标代理服务费由成交供应商支付,在领取《成交通知书》前,由成交供应商一次性支付给华夏国际项目管理（西安）有限公司｡ 招标代理服务费缴纳账户: 户名:华夏国际项目管理（西安）有限公司第一分公司 开户行:中国光大银行股份有限公司西安科技六路支行 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西安市雁塔区住房和城乡建设局</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以服务合同约定为准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对辖区在建房屋建筑（含装饰装修）及市政基础设施项目质量监督工作提供第三方技术服务，具体服务区域以采购人指定的区域为准。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房屋建筑（含装饰装修）工程质量检查第三方技术服务（东区）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标的名称：房屋建筑（含装饰装修）工程质量检查第三方技术服务（东区）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一、服务内容</w:t>
            </w:r>
          </w:p>
          <w:p>
            <w:pPr>
              <w:pStyle w:val="null3"/>
              <w:ind w:firstLine="400"/>
              <w:jc w:val="both"/>
            </w:pPr>
            <w:r>
              <w:rPr>
                <w:rFonts w:ascii="仿宋_GB2312" w:hAnsi="仿宋_GB2312" w:cs="仿宋_GB2312" w:eastAsia="仿宋_GB2312"/>
                <w:sz w:val="21"/>
              </w:rPr>
              <w:t>1包：房屋建筑（含装饰装修）工程质量检查第三方技术服务（东区）</w:t>
            </w:r>
          </w:p>
          <w:p>
            <w:pPr>
              <w:pStyle w:val="null3"/>
              <w:jc w:val="both"/>
            </w:pPr>
            <w:r>
              <w:rPr>
                <w:rFonts w:ascii="仿宋_GB2312" w:hAnsi="仿宋_GB2312" w:cs="仿宋_GB2312" w:eastAsia="仿宋_GB2312"/>
                <w:sz w:val="21"/>
              </w:rPr>
              <w:t>对辖区在建房屋建筑（含装饰装修）及市政基础设施项目质量监督工作提供第三方技术服务。</w:t>
            </w:r>
          </w:p>
          <w:p>
            <w:pPr>
              <w:pStyle w:val="null3"/>
              <w:jc w:val="both"/>
            </w:pPr>
            <w:r>
              <w:rPr>
                <w:rFonts w:ascii="仿宋_GB2312" w:hAnsi="仿宋_GB2312" w:cs="仿宋_GB2312" w:eastAsia="仿宋_GB2312"/>
                <w:sz w:val="21"/>
              </w:rPr>
              <w:t xml:space="preserve">   为辖区质量投诉处置提供专家现场核查等专业技术支撑，并做出专业评判及提出专业处理意见建议。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二、技术要求</w:t>
            </w:r>
          </w:p>
          <w:p>
            <w:pPr>
              <w:pStyle w:val="null3"/>
              <w:jc w:val="both"/>
            </w:pPr>
            <w:r>
              <w:rPr>
                <w:rFonts w:ascii="仿宋_GB2312" w:hAnsi="仿宋_GB2312" w:cs="仿宋_GB2312" w:eastAsia="仿宋_GB2312"/>
                <w:sz w:val="21"/>
              </w:rPr>
              <w:t>1、常态化巡查技术服务频次每个项目不低于2次/月，需重点管控项目巡查技术服务频次不低于3次/月，确保辖区所有在建工程技术服务覆盖率达到100%。</w:t>
            </w:r>
          </w:p>
          <w:p>
            <w:pPr>
              <w:pStyle w:val="null3"/>
              <w:jc w:val="both"/>
            </w:pPr>
            <w:r>
              <w:rPr>
                <w:rFonts w:ascii="仿宋_GB2312" w:hAnsi="仿宋_GB2312" w:cs="仿宋_GB2312" w:eastAsia="仿宋_GB2312"/>
                <w:sz w:val="21"/>
              </w:rPr>
              <w:t>2、质量技术服务小组须根据要求完成雁塔区所有在建工程质量巡查技术服务工作，现场汇总隐患问题并根据《陕西省建设工程质量和安全生产管理条例》进行判定，按照一般、较大、重大质量隐患，为下发质量隐患整改通知单以及采取停工整改、约谈教育、行政处罚等手段提供技术支持，一旦发现施工项目存在较大以上质量隐患，应及时作出专业评判，给予专业指导，确保不发生质量安全事故。</w:t>
            </w:r>
          </w:p>
          <w:p>
            <w:pPr>
              <w:pStyle w:val="null3"/>
              <w:jc w:val="both"/>
            </w:pPr>
            <w:r>
              <w:rPr>
                <w:rFonts w:ascii="仿宋_GB2312" w:hAnsi="仿宋_GB2312" w:cs="仿宋_GB2312" w:eastAsia="仿宋_GB2312"/>
                <w:sz w:val="21"/>
              </w:rPr>
              <w:t>3、质量技术服务小组每周编制本周服务报告报送至质安中心，每半年、年度分别编制半年报、年度报，报送质安中心。</w:t>
            </w:r>
          </w:p>
          <w:p>
            <w:pPr>
              <w:pStyle w:val="null3"/>
              <w:jc w:val="both"/>
            </w:pPr>
            <w:r>
              <w:rPr>
                <w:rFonts w:ascii="仿宋_GB2312" w:hAnsi="仿宋_GB2312" w:cs="仿宋_GB2312" w:eastAsia="仿宋_GB2312"/>
                <w:sz w:val="21"/>
              </w:rPr>
              <w:t>4、质量技术服务小组每月汇总、统计数字化管理数据，报送质安中心。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color w:val="000000"/>
              </w:rPr>
              <w:t>三、服务要求</w:t>
            </w:r>
          </w:p>
          <w:p>
            <w:pPr>
              <w:pStyle w:val="null3"/>
              <w:jc w:val="both"/>
            </w:pPr>
            <w:r>
              <w:rPr>
                <w:rFonts w:ascii="仿宋_GB2312" w:hAnsi="仿宋_GB2312" w:cs="仿宋_GB2312" w:eastAsia="仿宋_GB2312"/>
                <w:sz w:val="21"/>
              </w:rPr>
              <w:t>1、第三方机构是指政府委托的为政府房屋建筑工程质量监督管理提供技术服务的机构。通过实施施工质量巡查技术服务，以掌握辖区内在建工程项目工程质量管理状况，促进企业提高质量管理水平，排除项目存在的重大质量隐患，杜绝和减少质量事故的发生，促进工程质量管理水平持续提高。</w:t>
            </w:r>
          </w:p>
          <w:p>
            <w:pPr>
              <w:pStyle w:val="null3"/>
              <w:jc w:val="both"/>
            </w:pPr>
            <w:r>
              <w:rPr>
                <w:rFonts w:ascii="仿宋_GB2312" w:hAnsi="仿宋_GB2312" w:cs="仿宋_GB2312" w:eastAsia="仿宋_GB2312"/>
                <w:sz w:val="21"/>
              </w:rPr>
              <w:t>2、第三方日常巡查技术服务持续时间：自合同签订生效之日起1年。</w:t>
            </w:r>
          </w:p>
          <w:p>
            <w:pPr>
              <w:pStyle w:val="null3"/>
              <w:jc w:val="both"/>
            </w:pPr>
            <w:r>
              <w:rPr>
                <w:rFonts w:ascii="仿宋_GB2312" w:hAnsi="仿宋_GB2312" w:cs="仿宋_GB2312" w:eastAsia="仿宋_GB2312"/>
                <w:sz w:val="21"/>
              </w:rPr>
              <w:t>3、有固定办公地点，拥有与第三方机构工作相适应的设施、设备等必要的技术支撑条件。</w:t>
            </w:r>
          </w:p>
          <w:p>
            <w:pPr>
              <w:pStyle w:val="null3"/>
              <w:jc w:val="both"/>
            </w:pPr>
            <w:r>
              <w:rPr>
                <w:rFonts w:ascii="仿宋_GB2312" w:hAnsi="仿宋_GB2312" w:cs="仿宋_GB2312" w:eastAsia="仿宋_GB2312"/>
                <w:sz w:val="21"/>
              </w:rPr>
              <w:t>4、由第三方巡查技术服务小组自行提供司机满足检查技术服务需要的人员及车辆，保障交通需求（根据日常化巡查技术服务需求按需提供）。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具体检查项目由甲方后期指定。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1、成交供应商对最终的服务质量负完全责任。 2、验收依据： （1）合同； （2）国家有关的验收标准及规范； （3）竞争性磋商文件、竞争性磋商响应文件。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预付款，合同签订后，供应商须提供符合税务规定的合法有效发票，达到付款条件起10个工作日内，支付合同总金额的40.0%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进度款，服务至半年后，供应商须提供技术服务半年报，并附符合税务规定的合法有效发票，达到付款条件起10个工作日内，支付合同总金额的25.0%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进度款，服务完成后，供应商须提供技术服务年度报，并附符合税务规定的合法有效发票，达到付款条件起10个工作日内，支付合同总金额的35.0%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2、乙方应按合同约定时间完成各阶段合同义务，若发生延迟，乙方应向甲方支付合同总价款10%的违约金，且甲方有权单方解除本合同。但甲方书面同意延迟或因甲方原因导致延迟的，乙方不承担违约责任。 3、如甲方未能在本合同约定时间内支付款项，每延迟一天，甲方须向乙方承担迟延支付费用的0.5‰作为违约金，并将服务周期予以相应顺延。 4、本次活动因乙方原因导致侵害甲方或第三方合法权益的，应由乙方承担相应赔偿责任，并向甲方支付合同总价款10%的违约金。 5、若乙方未经甲方同意泄露本合同约定的任何秘密信息的，乙方应按照合同总价款的10%向甲方支付违约金，并赔偿因此给甲方造成的损失。 6、乙方保证向甲方开具发票的真实性、合法性，若乙方向甲方开具的发票存在真实性、合法性问题，给甲方造成损失的，乙方应按合同总价款的10%向甲方支付违约金， 违约金不足以弥补损失的，乙方还应承担相应赔偿责任。 7、本合同在履行过程中发生的争议,由甲､乙双方当事人协商解决,协商不成的按下列第二种方式解决:（一）提交西安仲裁委员会仲裁;（二）依法向甲方所在地人民法院起诉｡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价格：1-1、合同总价包括：服务费、售后服务费、利润、税金、保险、相关伴随费用等的一切费用。1-2、合同有效期内，合同总价一次包死，不受国家政策性调价或原材料价格变化及外汇汇率变化的影响，并作为最终结算的唯一依据。1-3、服务承诺：供应商应遵照国家规范规定的技术服务内容及要求作出明确承诺。 2、保密要求：成交单位和采购人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 3、质量要求：满足国家、省、市现行法律法规及相关政策要求。 4、合同实施：4-1、成交供应商应在合同签订后尽快安排人员与采购单位就服务工作进行安排、部署。4-2、若因成交供应商原因未能在服务期内完成合同规定的义务，由此对采购人造成的延误和一切损失，由成交供应商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供应商需在项目电子化交易系统中按要求填写《投标函》完成承诺并提供以下资料: 1.提供合格有效的法人或者其他组织的营业执照等证明文件，自然人的身份证明； 2.财务状况证明: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 3.提供具有履行合同所必需的设备和专业技术能力的承诺; 4.税收缴纳证明:供应商递交响应文件截止之日前一年内任意一个月的依法缴纳税收的完税证明，完税证明应有税务机关或代收机关的公章或业务专用章。依法免税或无须缴纳税收的供应商，应提供相应证明文件; 5.社会保障资金缴纳证明:提供磋商截止日前一年内已缴存的至少一个月的社会保障资金缴存单据或社保机构开具的社会保险参保缴费情况证明，依法不需要缴纳社会保障资金的单位应提供相关证明材料; 6.供应商应出具参加政府采购活动前3年内在经营活动中没有重大违法记录的书面声明｡进行电子签章｡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成立时间至提交磋商响应文件截止时间不足一年的可提供成立后任意时段的资产负债表)或财政部门认可的政府采购专业担保机构出具的担保函或在开标日期前一个月内其基本开户银行出具的资信证明(附开户许可证或开户备案证明或基本账户信息),以上形式的证明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建设行政主管部门颁发的工程监理综合资质或具备房屋建筑工程监理乙级及以上资质；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项目负责人证书</w:t>
            </w:r>
          </w:p>
        </w:tc>
        <w:tc>
          <w:tcPr>
            <w:tcW w:type="dxa" w:w="3322"/>
          </w:tcPr>
          <w:p>
            <w:pPr>
              <w:pStyle w:val="null3"/>
            </w:pPr>
            <w:r>
              <w:rPr>
                <w:rFonts w:ascii="仿宋_GB2312" w:hAnsi="仿宋_GB2312" w:cs="仿宋_GB2312" w:eastAsia="仿宋_GB2312"/>
              </w:rPr>
              <w:t>项目负责人具有注册监理工程师执业资格；</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磋商截止日前未被列入失信被执行人､重大税收违法失信主体､政府采购严重违法失信行为记录名单(处罚期限届满的除外)(以“信用中国”网站(www.creditchina.gov.cn)或中国政府采购网(www.ccgp.gov.cn)查询结果为准;(资格审查环节查询相关信用记录,对列入失信被执行人､重大税收违法失信主体､政府采购严重违法失信行为记录名单及其他不符合《中华人民共和国政府采购法》第二十二条规定的供应商,采购代理机构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本采购包不接受联合体磋商。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报价一览表.docx 中小企业声明函 报价表 磋商方案说明书.docx 供应商承诺书.docx 资格证明文件.docx 响应文件封面 残疾人福利性单位声明函 标的清单 其他资料.docx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w:t>
            </w:r>
          </w:p>
        </w:tc>
        <w:tc>
          <w:tcPr>
            <w:tcW w:type="dxa" w:w="2492"/>
          </w:tcPr>
          <w:p>
            <w:pPr>
              <w:pStyle w:val="null3"/>
            </w:pPr>
            <w:r>
              <w:rPr>
                <w:rFonts w:ascii="仿宋_GB2312" w:hAnsi="仿宋_GB2312" w:cs="仿宋_GB2312" w:eastAsia="仿宋_GB2312"/>
              </w:rPr>
              <w:t>1、对项目内容、采购需求、目标要求认识全面、理解深刻到位，完全符合项目需求，得2分； 2、对项目内容、采购需求、目标要求有一定认识和理解，基本符合项目需求，得1.5分； 3、对项目内容、采购需求有一定认识和理解，针对性不强，得1分； 4、对本项目相关要求的认识、理解不深入，有偏差，得0.5分； 5、其他或未提供不得分。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对辖区在建房屋建筑（含装饰装修）、市政基础设施项目，提供详细的服务方案：1.对在建项目工期进度情况检查的方案；2.对在建项目技术质量排查、质量体系运行情况检查的方案；3.对建筑工程分包单位管理制度落实情况的检查方案；4.配合政府政策文件要求，开展质量专项排查的方案；5.对需求范围内各类质量应急处置的方案；6.对辖区内农村自建房屋排查的方案；7.对辖区建设项目提供专业咨询、技术指导等服务的方案；8.对辖区开展劳动技能大赛等质量安全竞赛活动的方案。根据以上服务方案的完整性、规范性、科学性、可行性进行评分。①每个方案详细具体、切实可行，满足采购人要求的得3分；②每个方案较具体、可行，满足采购人要求的得2分；③每个方案缺失、针对性差、无法满足采购人要求的得1分；④未提供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分别针对在建房屋建筑（含装饰装修）、市政工程巡查工作的重点和难点，至少包括关键环节、质量重点风险源、重大隐患。①每种类型的工程巡查重点难点详细具体、切实可行，得2分；②每种类型的工程巡查重点难点较具体、可行，得1.5分；③每种类型的工程方案较为全面、基本可行的得1分；④每种类型的工程方案缺失、针对性差、无法满足采购人要求的得0.5分；⑤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成果文件编制计划</w:t>
            </w:r>
          </w:p>
        </w:tc>
        <w:tc>
          <w:tcPr>
            <w:tcW w:type="dxa" w:w="2492"/>
          </w:tcPr>
          <w:p>
            <w:pPr>
              <w:pStyle w:val="null3"/>
            </w:pPr>
            <w:r>
              <w:rPr>
                <w:rFonts w:ascii="仿宋_GB2312" w:hAnsi="仿宋_GB2312" w:cs="仿宋_GB2312" w:eastAsia="仿宋_GB2312"/>
              </w:rPr>
              <w:t>针对本项目的成果文件的编制计划：①结合项目需求，供应商应提供成果文件编制计划。阐述内容详尽具体，实施细节及措施合理完善，针对性强，可实施性强，与本项目结合紧密，完全满足采购需求，得2分；②虽进行了阐述，但阐述内容不够详尽具体，或实施细节及措施较为合理完善但稍有瑕疵，或针对性不够强，或可实施性不够强，总体上满足采购需求，细节待完善，得1.5分；③虽进行了阐述，但阐述内容有所缺失，或实施细节及措施不合理不完善，或缺乏针对性，或缺乏可实施性，得1分；④虽进行了阐述，但阐述内容缺失严重，或未结合项目情况进行论述，偏差明显的得0.5分；⑤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供应商针对本项目有完善的管理体系、质量管理、项目保证措施等。要求针对本项目的质量保证体系健全、控制程序规范、保证措施得当，能确保项目顺利实施。①供应商应提供各项保障措施，阐述内容详尽具体，实施细节及措施合理、完善，针对性强，可实施性强，与本项目结合紧密，完全满足采购需求，得4分；②虽进行了阐述，但阐述内容不够详尽具体，或实施细节及措施较为合理、完善但稍有瑕疵，或针对性不够强，或可实施性不够强，总体上满足采购需求，细节待完善，得3分；③虽进行了阐述，但阐述内容较为简略，或实施细节及措施基本合理完善但有所欠缺，或针对性不强，或可实施性不强，基本满足采购需求，待改进加强，得2分；④虽进行了阐述，但阐述内容缺失严重，或未结合项目情况进行论述，偏差明显的得1分；⑤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服务团队人员配备</w:t>
            </w:r>
          </w:p>
        </w:tc>
        <w:tc>
          <w:tcPr>
            <w:tcW w:type="dxa" w:w="2492"/>
          </w:tcPr>
          <w:p>
            <w:pPr>
              <w:pStyle w:val="null3"/>
            </w:pPr>
            <w:r>
              <w:rPr>
                <w:rFonts w:ascii="仿宋_GB2312" w:hAnsi="仿宋_GB2312" w:cs="仿宋_GB2312" w:eastAsia="仿宋_GB2312"/>
              </w:rPr>
              <w:t>（1）提供投入本项目的专业服务团队人员人数在6-10人得5分；人数在3-5人得2分；3人以下不得分。 （2）服务团队（除项目负责人）中具有一名相关专业高级职称得5分。 （3）服务团队（除项目负责人）中具有注册监理工程师执业资格证书得2分，满分6分。 注：须在响应文件中附人员证书扫描件/复印件，加盖供应商电子印章。未提供不得分。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提供项目负责人具备高级及以上技术职称的得5分，中级职称的得4分，其他不得分。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具有完善的质量应急处置措施，具有质量事故规避处理机制；①应急措施，详细，实用，切实可行，得2分；②应急措施，详细，实用，可行性较强，得1.5分;③应急措施，详细，实用，可行性简单笼统，得1分；④应急措施，详细，实用，可行性差，得0.5分;⑤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提出适用于本项目的保密措施：对监督检查的数据、结果、成果文件的保密措施；①保密措施详细合理，可性强得2分。②保密措施基本完整，可行性较强得1.5分;③保密措施简单，可行性一般得1分;④保密措施较混乱，可行性较差得0.5分;⑤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拟投入设备</w:t>
            </w:r>
          </w:p>
        </w:tc>
        <w:tc>
          <w:tcPr>
            <w:tcW w:type="dxa" w:w="2492"/>
          </w:tcPr>
          <w:p>
            <w:pPr>
              <w:pStyle w:val="null3"/>
            </w:pPr>
            <w:r>
              <w:rPr>
                <w:rFonts w:ascii="仿宋_GB2312" w:hAnsi="仿宋_GB2312" w:cs="仿宋_GB2312" w:eastAsia="仿宋_GB2312"/>
              </w:rPr>
              <w:t>提供回弹仪、裂缝测宽仪、水准仪、垂直度检测仪、钢筋探测仪、激光测距仪齐全得6分；缺1台扣1分，扣完止。 注：提供以上设备的仪器清单，未提供不得分。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质量认证</w:t>
            </w:r>
          </w:p>
        </w:tc>
        <w:tc>
          <w:tcPr>
            <w:tcW w:type="dxa" w:w="2492"/>
          </w:tcPr>
          <w:p>
            <w:pPr>
              <w:pStyle w:val="null3"/>
            </w:pPr>
            <w:r>
              <w:rPr>
                <w:rFonts w:ascii="仿宋_GB2312" w:hAnsi="仿宋_GB2312" w:cs="仿宋_GB2312" w:eastAsia="仿宋_GB2312"/>
              </w:rPr>
              <w:t>供应商具备①ISO9001质量管理体系；②ISO14001环境管理体系；③ISO45001职业健康安全管理体系；每提供一项得2分，满分6分。 注：提供证书复印件/扫描件，加盖供应商电子印章。未提供不得分。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针对本项目提出的合理化建议，每提供一条建议得1，满分2分。未提供不得分。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供应商提供自2023年06月01日至今类似业绩的证明材料（合同复印件加盖公章，以合同签订时间为准）每提供一项得5分，最高得10分，未提供不得分。注:须提供项目完整合同扫描件件,加盖公章｡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投标价格最低的投标报价为评标基准价,其价格分为满分｡其他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