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right"/>
        <w:rPr>
          <w:rFonts w:hint="eastAsia" w:ascii="仿宋_GB2312" w:hAnsi="仿宋_GB2312" w:eastAsia="仿宋_GB2312" w:cs="仿宋_GB2312"/>
          <w:b/>
          <w:color w:val="auto"/>
          <w:spacing w:val="-20"/>
          <w:sz w:val="32"/>
          <w:szCs w:val="32"/>
          <w:highlight w:val="none"/>
          <w:u w:val="none"/>
        </w:rPr>
      </w:pPr>
      <w:bookmarkStart w:id="0" w:name="OLE_LINK76"/>
      <w:r>
        <w:rPr>
          <w:rFonts w:hint="eastAsia" w:ascii="仿宋_GB2312" w:hAnsi="仿宋_GB2312" w:eastAsia="仿宋_GB2312" w:cs="仿宋_GB2312"/>
          <w:b/>
          <w:bCs w:val="0"/>
          <w:color w:val="auto"/>
          <w:spacing w:val="-20"/>
          <w:sz w:val="32"/>
          <w:szCs w:val="32"/>
          <w:highlight w:val="none"/>
          <w:u w:val="none"/>
          <w:lang w:val="en-US" w:eastAsia="zh-CN"/>
        </w:rPr>
        <w:t>合同编号:</w:t>
      </w:r>
      <w:r>
        <w:rPr>
          <w:rFonts w:hint="eastAsia" w:ascii="仿宋_GB2312" w:hAnsi="仿宋_GB2312" w:eastAsia="仿宋_GB2312" w:cs="仿宋_GB2312"/>
          <w:b/>
          <w:bCs w:val="0"/>
          <w:color w:val="auto"/>
          <w:sz w:val="32"/>
          <w:szCs w:val="32"/>
          <w:highlight w:val="none"/>
          <w:u w:val="none"/>
        </w:rPr>
        <w:t>招采</w:t>
      </w:r>
      <w:r>
        <w:rPr>
          <w:rFonts w:hint="eastAsia" w:ascii="仿宋_GB2312" w:hAnsi="仿宋_GB2312" w:eastAsia="仿宋_GB2312" w:cs="仿宋_GB2312"/>
          <w:b/>
          <w:bCs w:val="0"/>
          <w:color w:val="auto"/>
          <w:sz w:val="32"/>
          <w:szCs w:val="32"/>
          <w:highlight w:val="none"/>
          <w:u w:val="none"/>
          <w:lang w:val="en-US" w:eastAsia="zh-CN"/>
        </w:rPr>
        <w:t>服务</w:t>
      </w:r>
      <w:r>
        <w:rPr>
          <w:rFonts w:hint="eastAsia" w:ascii="仿宋_GB2312" w:hAnsi="仿宋_GB2312" w:eastAsia="仿宋_GB2312" w:cs="仿宋_GB2312"/>
          <w:b/>
          <w:bCs w:val="0"/>
          <w:color w:val="auto"/>
          <w:sz w:val="32"/>
          <w:szCs w:val="32"/>
          <w:highlight w:val="none"/>
          <w:u w:val="none"/>
        </w:rPr>
        <w:t>202</w:t>
      </w:r>
      <w:r>
        <w:rPr>
          <w:rFonts w:hint="eastAsia" w:ascii="仿宋_GB2312" w:hAnsi="仿宋_GB2312" w:eastAsia="仿宋_GB2312" w:cs="仿宋_GB2312"/>
          <w:b/>
          <w:bCs w:val="0"/>
          <w:color w:val="auto"/>
          <w:sz w:val="32"/>
          <w:szCs w:val="32"/>
          <w:highlight w:val="none"/>
          <w:u w:val="none"/>
          <w:lang w:val="en-US" w:eastAsia="zh-CN"/>
        </w:rPr>
        <w:t>6</w:t>
      </w:r>
      <w:r>
        <w:rPr>
          <w:rFonts w:hint="eastAsia" w:ascii="仿宋_GB2312" w:hAnsi="仿宋_GB2312" w:eastAsia="仿宋_GB2312" w:cs="仿宋_GB2312"/>
          <w:b/>
          <w:bCs w:val="0"/>
          <w:color w:val="auto"/>
          <w:sz w:val="32"/>
          <w:szCs w:val="32"/>
          <w:highlight w:val="none"/>
          <w:u w:val="none"/>
        </w:rPr>
        <w:t>(</w:t>
      </w:r>
      <w:r>
        <w:rPr>
          <w:rFonts w:hint="eastAsia" w:ascii="仿宋_GB2312" w:hAnsi="仿宋_GB2312" w:eastAsia="仿宋_GB2312" w:cs="仿宋_GB2312"/>
          <w:b/>
          <w:bCs w:val="0"/>
          <w:color w:val="auto"/>
          <w:sz w:val="32"/>
          <w:szCs w:val="32"/>
          <w:highlight w:val="none"/>
          <w:u w:val="none"/>
          <w:lang w:val="en-US" w:eastAsia="zh-CN"/>
        </w:rPr>
        <w:t xml:space="preserve">    </w:t>
      </w:r>
      <w:r>
        <w:rPr>
          <w:rFonts w:hint="eastAsia" w:ascii="仿宋_GB2312" w:hAnsi="仿宋_GB2312" w:eastAsia="仿宋_GB2312" w:cs="仿宋_GB2312"/>
          <w:b/>
          <w:bCs w:val="0"/>
          <w:color w:val="auto"/>
          <w:sz w:val="32"/>
          <w:szCs w:val="32"/>
          <w:highlight w:val="none"/>
          <w:u w:val="none"/>
        </w:rPr>
        <w:t>)号</w:t>
      </w:r>
    </w:p>
    <w:p>
      <w:pPr>
        <w:shd w:val="clear"/>
        <w:rPr>
          <w:rFonts w:hint="eastAsia" w:ascii="仿宋_GB2312" w:hAnsi="仿宋_GB2312" w:eastAsia="仿宋_GB2312" w:cs="仿宋_GB2312"/>
          <w:color w:val="auto"/>
          <w:sz w:val="52"/>
          <w:szCs w:val="52"/>
          <w:highlight w:val="none"/>
          <w:u w:val="none"/>
        </w:rPr>
      </w:pPr>
    </w:p>
    <w:p>
      <w:pPr>
        <w:shd w:val="clear"/>
        <w:spacing w:line="360" w:lineRule="auto"/>
        <w:jc w:val="center"/>
        <w:rPr>
          <w:rFonts w:hint="eastAsia" w:ascii="仿宋_GB2312" w:hAnsi="仿宋_GB2312" w:eastAsia="仿宋_GB2312" w:cs="仿宋_GB2312"/>
          <w:b/>
          <w:color w:val="auto"/>
          <w:sz w:val="48"/>
          <w:szCs w:val="48"/>
          <w:highlight w:val="none"/>
          <w:u w:val="none"/>
        </w:rPr>
      </w:pPr>
      <w:r>
        <w:rPr>
          <w:rFonts w:hint="eastAsia" w:ascii="仿宋_GB2312" w:hAnsi="仿宋_GB2312" w:eastAsia="仿宋_GB2312" w:cs="仿宋_GB2312"/>
          <w:b/>
          <w:color w:val="auto"/>
          <w:sz w:val="48"/>
          <w:szCs w:val="48"/>
          <w:highlight w:val="none"/>
          <w:u w:val="none"/>
          <w:lang w:val="en-US" w:eastAsia="zh-CN"/>
        </w:rPr>
        <w:t>服 务</w:t>
      </w:r>
      <w:r>
        <w:rPr>
          <w:rFonts w:hint="eastAsia" w:ascii="仿宋_GB2312" w:hAnsi="仿宋_GB2312" w:eastAsia="仿宋_GB2312" w:cs="仿宋_GB2312"/>
          <w:b/>
          <w:color w:val="auto"/>
          <w:sz w:val="48"/>
          <w:szCs w:val="48"/>
          <w:highlight w:val="none"/>
          <w:u w:val="none"/>
        </w:rPr>
        <w:t xml:space="preserve"> 合 同</w:t>
      </w:r>
    </w:p>
    <w:p>
      <w:pPr>
        <w:shd w:val="clear"/>
        <w:spacing w:line="360" w:lineRule="auto"/>
        <w:jc w:val="center"/>
        <w:rPr>
          <w:rFonts w:hint="eastAsia" w:ascii="仿宋_GB2312" w:hAnsi="仿宋_GB2312" w:eastAsia="仿宋_GB2312" w:cs="仿宋_GB2312"/>
          <w:color w:val="auto"/>
          <w:sz w:val="44"/>
          <w:szCs w:val="44"/>
          <w:highlight w:val="none"/>
          <w:u w:val="none"/>
        </w:rPr>
      </w:pPr>
      <w:r>
        <w:rPr>
          <w:rFonts w:hint="eastAsia" w:ascii="仿宋_GB2312" w:hAnsi="仿宋_GB2312" w:eastAsia="仿宋_GB2312" w:cs="仿宋_GB2312"/>
          <w:b/>
          <w:bCs/>
          <w:color w:val="auto"/>
          <w:sz w:val="44"/>
          <w:szCs w:val="44"/>
          <w:highlight w:val="none"/>
          <w:u w:val="none"/>
          <w:lang w:val="en-US" w:eastAsia="zh-CN"/>
        </w:rPr>
        <w:t xml:space="preserve"> </w:t>
      </w:r>
      <w:r>
        <w:rPr>
          <w:rFonts w:hint="eastAsia" w:ascii="仿宋_GB2312" w:hAnsi="仿宋_GB2312" w:eastAsia="仿宋_GB2312" w:cs="仿宋_GB2312"/>
          <w:b/>
          <w:bCs/>
          <w:color w:val="auto"/>
          <w:sz w:val="44"/>
          <w:szCs w:val="44"/>
          <w:highlight w:val="none"/>
          <w:u w:val="none"/>
        </w:rPr>
        <w:t>(</w:t>
      </w:r>
      <w:r>
        <w:rPr>
          <w:rFonts w:hint="eastAsia" w:ascii="仿宋_GB2312" w:hAnsi="仿宋_GB2312" w:eastAsia="仿宋_GB2312" w:cs="仿宋_GB2312"/>
          <w:b/>
          <w:bCs/>
          <w:color w:val="auto"/>
          <w:sz w:val="44"/>
          <w:szCs w:val="44"/>
          <w:highlight w:val="none"/>
          <w:u w:val="none"/>
          <w:lang w:val="en-US" w:eastAsia="zh-CN"/>
        </w:rPr>
        <w:t>项目</w:t>
      </w:r>
      <w:r>
        <w:rPr>
          <w:rFonts w:hint="eastAsia" w:ascii="仿宋_GB2312" w:hAnsi="仿宋_GB2312" w:eastAsia="仿宋_GB2312" w:cs="仿宋_GB2312"/>
          <w:b/>
          <w:bCs/>
          <w:color w:val="auto"/>
          <w:sz w:val="44"/>
          <w:szCs w:val="44"/>
          <w:highlight w:val="none"/>
          <w:u w:val="none"/>
        </w:rPr>
        <w:t>名称:</w:t>
      </w:r>
      <w:r>
        <w:rPr>
          <w:rFonts w:hint="eastAsia" w:ascii="仿宋_GB2312" w:hAnsi="仿宋_GB2312" w:eastAsia="仿宋_GB2312" w:cs="仿宋_GB2312"/>
          <w:b/>
          <w:bCs/>
          <w:color w:val="auto"/>
          <w:sz w:val="44"/>
          <w:szCs w:val="44"/>
          <w:highlight w:val="none"/>
          <w:u w:val="none"/>
          <w:lang w:val="en-US" w:eastAsia="zh-CN"/>
        </w:rPr>
        <w:t xml:space="preserve">    </w:t>
      </w:r>
      <w:r>
        <w:rPr>
          <w:rFonts w:hint="eastAsia" w:ascii="仿宋_GB2312" w:hAnsi="仿宋_GB2312" w:eastAsia="仿宋_GB2312" w:cs="仿宋_GB2312"/>
          <w:b/>
          <w:bCs/>
          <w:color w:val="auto"/>
          <w:sz w:val="44"/>
          <w:szCs w:val="44"/>
          <w:highlight w:val="none"/>
          <w:u w:val="none"/>
        </w:rPr>
        <w:t>)</w:t>
      </w:r>
    </w:p>
    <w:p>
      <w:pPr>
        <w:shd w:val="clear"/>
        <w:spacing w:line="510" w:lineRule="atLeast"/>
        <w:rPr>
          <w:rFonts w:hint="eastAsia" w:ascii="仿宋_GB2312" w:hAnsi="仿宋_GB2312" w:eastAsia="仿宋_GB2312" w:cs="仿宋_GB2312"/>
          <w:b/>
          <w:color w:val="auto"/>
          <w:sz w:val="30"/>
          <w:szCs w:val="30"/>
          <w:highlight w:val="none"/>
          <w:u w:val="none"/>
          <w:lang w:val="en-US" w:eastAsia="zh-CN"/>
        </w:rPr>
      </w:pPr>
      <w:r>
        <w:rPr>
          <w:rFonts w:hint="eastAsia" w:ascii="仿宋_GB2312" w:hAnsi="仿宋_GB2312" w:eastAsia="仿宋_GB2312" w:cs="仿宋_GB2312"/>
          <w:b/>
          <w:color w:val="auto"/>
          <w:sz w:val="30"/>
          <w:szCs w:val="30"/>
          <w:highlight w:val="none"/>
          <w:u w:val="none"/>
          <w:lang w:val="en-US" w:eastAsia="zh-CN"/>
        </w:rPr>
        <w:t xml:space="preserve">                    包号：1包</w:t>
      </w:r>
    </w:p>
    <w:p>
      <w:pPr>
        <w:pStyle w:val="2"/>
        <w:shd w:val="clear"/>
        <w:rPr>
          <w:rFonts w:hint="eastAsia" w:ascii="仿宋_GB2312" w:hAnsi="仿宋_GB2312" w:eastAsia="仿宋_GB2312" w:cs="仿宋_GB2312"/>
          <w:b/>
          <w:color w:val="auto"/>
          <w:sz w:val="30"/>
          <w:szCs w:val="30"/>
          <w:highlight w:val="none"/>
          <w:u w:val="none"/>
        </w:rPr>
      </w:pPr>
    </w:p>
    <w:p>
      <w:pPr>
        <w:shd w:val="clear"/>
        <w:rPr>
          <w:rFonts w:hint="eastAsia" w:ascii="仿宋_GB2312" w:hAnsi="仿宋_GB2312" w:eastAsia="仿宋_GB2312" w:cs="仿宋_GB2312"/>
          <w:color w:val="auto"/>
          <w:highlight w:val="none"/>
          <w:u w:val="none"/>
        </w:rPr>
      </w:pPr>
    </w:p>
    <w:p>
      <w:pPr>
        <w:pStyle w:val="2"/>
        <w:shd w:val="clear"/>
        <w:rPr>
          <w:rFonts w:hint="eastAsia" w:ascii="仿宋_GB2312" w:hAnsi="仿宋_GB2312" w:eastAsia="仿宋_GB2312" w:cs="仿宋_GB2312"/>
          <w:color w:val="auto"/>
          <w:highlight w:val="none"/>
          <w:u w:val="none"/>
        </w:rPr>
      </w:pPr>
    </w:p>
    <w:p>
      <w:pPr>
        <w:shd w:val="clear"/>
        <w:spacing w:line="510" w:lineRule="atLeast"/>
        <w:jc w:val="center"/>
        <w:rPr>
          <w:rFonts w:hint="eastAsia" w:ascii="仿宋_GB2312" w:hAnsi="仿宋_GB2312" w:eastAsia="仿宋_GB2312" w:cs="仿宋_GB2312"/>
          <w:b/>
          <w:color w:val="auto"/>
          <w:sz w:val="30"/>
          <w:szCs w:val="30"/>
          <w:highlight w:val="none"/>
          <w:u w:val="none"/>
        </w:rPr>
      </w:pPr>
    </w:p>
    <w:p>
      <w:pPr>
        <w:pStyle w:val="2"/>
        <w:shd w:val="clear"/>
        <w:rPr>
          <w:rFonts w:hint="eastAsia" w:ascii="仿宋_GB2312" w:hAnsi="仿宋_GB2312" w:eastAsia="仿宋_GB2312" w:cs="仿宋_GB2312"/>
          <w:b/>
          <w:color w:val="auto"/>
          <w:sz w:val="30"/>
          <w:szCs w:val="30"/>
          <w:highlight w:val="none"/>
          <w:u w:val="none"/>
        </w:rPr>
      </w:pPr>
    </w:p>
    <w:p>
      <w:pPr>
        <w:shd w:val="clear"/>
        <w:spacing w:line="510" w:lineRule="atLeast"/>
        <w:jc w:val="both"/>
        <w:rPr>
          <w:rFonts w:hint="eastAsia" w:ascii="仿宋_GB2312" w:hAnsi="仿宋_GB2312" w:eastAsia="仿宋_GB2312" w:cs="仿宋_GB2312"/>
          <w:b/>
          <w:color w:val="auto"/>
          <w:sz w:val="30"/>
          <w:szCs w:val="30"/>
          <w:highlight w:val="none"/>
          <w:u w:val="none"/>
        </w:rPr>
      </w:pPr>
    </w:p>
    <w:p>
      <w:pPr>
        <w:pStyle w:val="2"/>
        <w:rPr>
          <w:rFonts w:hint="eastAsia"/>
          <w:color w:val="auto"/>
        </w:rPr>
      </w:pPr>
    </w:p>
    <w:p>
      <w:pPr>
        <w:pStyle w:val="2"/>
        <w:shd w:val="clear"/>
        <w:rPr>
          <w:rFonts w:hint="eastAsia" w:ascii="仿宋_GB2312" w:hAnsi="仿宋_GB2312" w:eastAsia="仿宋_GB2312" w:cs="仿宋_GB2312"/>
          <w:color w:val="auto"/>
          <w:highlight w:val="none"/>
          <w:u w:val="none"/>
        </w:rPr>
      </w:pPr>
    </w:p>
    <w:p>
      <w:pPr>
        <w:shd w:val="clear"/>
        <w:spacing w:line="510" w:lineRule="atLeast"/>
        <w:rPr>
          <w:rFonts w:hint="eastAsia" w:ascii="仿宋_GB2312" w:hAnsi="仿宋_GB2312" w:eastAsia="仿宋_GB2312" w:cs="仿宋_GB2312"/>
          <w:b/>
          <w:color w:val="auto"/>
          <w:sz w:val="30"/>
          <w:szCs w:val="30"/>
          <w:highlight w:val="none"/>
          <w:u w:val="none"/>
        </w:rPr>
      </w:pPr>
    </w:p>
    <w:p>
      <w:pPr>
        <w:shd w:val="clear"/>
        <w:snapToGrid w:val="0"/>
        <w:spacing w:line="360" w:lineRule="auto"/>
        <w:rPr>
          <w:rFonts w:hint="eastAsia" w:ascii="仿宋_GB2312" w:hAnsi="仿宋_GB2312" w:eastAsia="仿宋_GB2312" w:cs="仿宋_GB2312"/>
          <w:b/>
          <w:color w:val="auto"/>
          <w:sz w:val="36"/>
          <w:szCs w:val="36"/>
          <w:highlight w:val="none"/>
          <w:u w:val="none"/>
          <w:lang w:eastAsia="zh-CN"/>
        </w:rPr>
      </w:pPr>
      <w:r>
        <w:rPr>
          <w:rFonts w:hint="eastAsia" w:ascii="仿宋_GB2312" w:hAnsi="仿宋_GB2312" w:eastAsia="仿宋_GB2312" w:cs="仿宋_GB2312"/>
          <w:b/>
          <w:color w:val="auto"/>
          <w:sz w:val="36"/>
          <w:szCs w:val="36"/>
          <w:highlight w:val="none"/>
          <w:u w:val="none"/>
        </w:rPr>
        <w:t>甲  方:</w:t>
      </w:r>
      <w:r>
        <w:rPr>
          <w:rFonts w:hint="eastAsia" w:ascii="仿宋_GB2312" w:hAnsi="仿宋_GB2312" w:eastAsia="仿宋_GB2312" w:cs="仿宋_GB2312"/>
          <w:b/>
          <w:color w:val="auto"/>
          <w:sz w:val="36"/>
          <w:szCs w:val="36"/>
          <w:highlight w:val="none"/>
          <w:u w:val="none"/>
          <w:lang w:eastAsia="zh-CN"/>
        </w:rPr>
        <w:t>西安市雁塔区住房和城乡建设局</w:t>
      </w:r>
    </w:p>
    <w:p>
      <w:pPr>
        <w:shd w:val="clear"/>
        <w:tabs>
          <w:tab w:val="left" w:pos="480"/>
        </w:tabs>
        <w:snapToGrid w:val="0"/>
        <w:spacing w:line="360" w:lineRule="auto"/>
        <w:rPr>
          <w:rFonts w:hint="default" w:ascii="仿宋_GB2312" w:hAnsi="仿宋_GB2312" w:eastAsia="仿宋_GB2312" w:cs="仿宋_GB2312"/>
          <w:b/>
          <w:color w:val="auto"/>
          <w:sz w:val="36"/>
          <w:szCs w:val="36"/>
          <w:highlight w:val="none"/>
          <w:u w:val="none"/>
          <w:lang w:val="en-US" w:eastAsia="zh-CN"/>
        </w:rPr>
      </w:pPr>
      <w:r>
        <w:rPr>
          <w:rFonts w:hint="eastAsia" w:ascii="仿宋_GB2312" w:hAnsi="仿宋_GB2312" w:eastAsia="仿宋_GB2312" w:cs="仿宋_GB2312"/>
          <w:b/>
          <w:color w:val="auto"/>
          <w:sz w:val="36"/>
          <w:szCs w:val="36"/>
          <w:highlight w:val="none"/>
          <w:u w:val="none"/>
        </w:rPr>
        <w:t>乙  方:</w:t>
      </w:r>
      <w:r>
        <w:rPr>
          <w:rFonts w:hint="eastAsia" w:ascii="仿宋_GB2312" w:hAnsi="仿宋_GB2312" w:eastAsia="仿宋_GB2312" w:cs="仿宋_GB2312"/>
          <w:b/>
          <w:color w:val="auto"/>
          <w:sz w:val="36"/>
          <w:szCs w:val="36"/>
          <w:highlight w:val="none"/>
          <w:u w:val="none"/>
          <w:lang w:val="en-US" w:eastAsia="zh-CN"/>
        </w:rPr>
        <w:t xml:space="preserve">          </w:t>
      </w:r>
    </w:p>
    <w:p>
      <w:pPr>
        <w:shd w:val="clear"/>
        <w:spacing w:line="510" w:lineRule="atLeast"/>
        <w:jc w:val="center"/>
        <w:rPr>
          <w:rFonts w:hint="eastAsia" w:ascii="仿宋_GB2312" w:hAnsi="仿宋_GB2312" w:eastAsia="仿宋_GB2312" w:cs="仿宋_GB2312"/>
          <w:b/>
          <w:color w:val="auto"/>
          <w:sz w:val="36"/>
          <w:szCs w:val="36"/>
          <w:highlight w:val="none"/>
          <w:u w:val="none"/>
        </w:rPr>
      </w:pPr>
    </w:p>
    <w:p>
      <w:pPr>
        <w:shd w:val="clear"/>
        <w:snapToGrid w:val="0"/>
        <w:spacing w:line="360" w:lineRule="auto"/>
        <w:ind w:firstLine="2530" w:firstLineChars="700"/>
        <w:jc w:val="both"/>
        <w:rPr>
          <w:rFonts w:hint="eastAsia" w:ascii="仿宋_GB2312" w:hAnsi="仿宋_GB2312" w:eastAsia="仿宋_GB2312" w:cs="仿宋_GB2312"/>
          <w:b/>
          <w:color w:val="auto"/>
          <w:sz w:val="36"/>
          <w:szCs w:val="36"/>
          <w:highlight w:val="none"/>
          <w:u w:val="none"/>
        </w:rPr>
      </w:pPr>
      <w:r>
        <w:rPr>
          <w:rFonts w:hint="eastAsia" w:ascii="仿宋_GB2312" w:hAnsi="仿宋_GB2312" w:eastAsia="仿宋_GB2312" w:cs="仿宋_GB2312"/>
          <w:b/>
          <w:color w:val="auto"/>
          <w:sz w:val="36"/>
          <w:szCs w:val="36"/>
          <w:highlight w:val="none"/>
          <w:u w:val="none"/>
          <w:lang w:val="en-US" w:eastAsia="zh-CN"/>
        </w:rPr>
        <w:t xml:space="preserve"> </w:t>
      </w:r>
      <w:r>
        <w:rPr>
          <w:rFonts w:hint="eastAsia" w:ascii="仿宋_GB2312" w:hAnsi="仿宋_GB2312" w:eastAsia="仿宋_GB2312" w:cs="仿宋_GB2312"/>
          <w:b/>
          <w:color w:val="auto"/>
          <w:sz w:val="36"/>
          <w:szCs w:val="36"/>
          <w:highlight w:val="none"/>
          <w:u w:val="none"/>
        </w:rPr>
        <w:t>年</w:t>
      </w:r>
      <w:r>
        <w:rPr>
          <w:rFonts w:hint="eastAsia" w:ascii="仿宋_GB2312" w:hAnsi="仿宋_GB2312" w:eastAsia="仿宋_GB2312" w:cs="仿宋_GB2312"/>
          <w:b/>
          <w:color w:val="auto"/>
          <w:sz w:val="36"/>
          <w:szCs w:val="36"/>
          <w:highlight w:val="none"/>
          <w:u w:val="none"/>
          <w:lang w:val="en-US" w:eastAsia="zh-CN"/>
        </w:rPr>
        <w:t xml:space="preserve">   </w:t>
      </w:r>
      <w:r>
        <w:rPr>
          <w:rFonts w:hint="eastAsia" w:ascii="仿宋_GB2312" w:hAnsi="仿宋_GB2312" w:eastAsia="仿宋_GB2312" w:cs="仿宋_GB2312"/>
          <w:b/>
          <w:color w:val="auto"/>
          <w:sz w:val="36"/>
          <w:szCs w:val="36"/>
          <w:highlight w:val="none"/>
          <w:u w:val="none"/>
        </w:rPr>
        <w:t>月</w:t>
      </w:r>
    </w:p>
    <w:p>
      <w:pPr>
        <w:shd w:val="clear"/>
        <w:snapToGrid w:val="0"/>
        <w:spacing w:line="360" w:lineRule="auto"/>
        <w:ind w:firstLine="2530" w:firstLineChars="700"/>
        <w:jc w:val="both"/>
        <w:rPr>
          <w:rFonts w:hint="eastAsia" w:ascii="仿宋_GB2312" w:hAnsi="仿宋_GB2312" w:eastAsia="仿宋_GB2312" w:cs="仿宋_GB2312"/>
          <w:b/>
          <w:color w:val="auto"/>
          <w:sz w:val="36"/>
          <w:szCs w:val="36"/>
          <w:highlight w:val="none"/>
          <w:u w:val="none"/>
        </w:rPr>
      </w:pPr>
      <w:r>
        <w:rPr>
          <w:rFonts w:hint="eastAsia" w:ascii="仿宋_GB2312" w:hAnsi="仿宋_GB2312" w:eastAsia="仿宋_GB2312" w:cs="仿宋_GB2312"/>
          <w:b/>
          <w:color w:val="auto"/>
          <w:sz w:val="36"/>
          <w:szCs w:val="36"/>
          <w:highlight w:val="none"/>
          <w:u w:val="none"/>
        </w:rPr>
        <w:t>中国  西安</w:t>
      </w:r>
    </w:p>
    <w:p>
      <w:pPr>
        <w:pStyle w:val="3"/>
        <w:numPr>
          <w:ilvl w:val="0"/>
          <w:numId w:val="0"/>
        </w:numPr>
        <w:shd w:val="clear"/>
        <w:jc w:val="center"/>
        <w:outlineLvl w:val="0"/>
        <w:rPr>
          <w:rFonts w:hint="eastAsia" w:ascii="仿宋_GB2312" w:hAnsi="仿宋_GB2312" w:eastAsia="仿宋_GB2312" w:cs="仿宋_GB2312"/>
          <w:bCs/>
          <w:color w:val="auto"/>
          <w:sz w:val="36"/>
          <w:szCs w:val="36"/>
          <w:highlight w:val="none"/>
          <w:u w:val="none"/>
        </w:rPr>
      </w:pPr>
    </w:p>
    <w:p>
      <w:pPr>
        <w:rPr>
          <w:rFonts w:hint="eastAsia"/>
          <w:color w:val="auto"/>
        </w:rPr>
      </w:pPr>
    </w:p>
    <w:p>
      <w:pPr>
        <w:rPr>
          <w:rFonts w:hint="eastAsia"/>
          <w:color w:val="auto"/>
        </w:rPr>
      </w:pPr>
    </w:p>
    <w:p>
      <w:pPr>
        <w:pStyle w:val="3"/>
        <w:numPr>
          <w:ilvl w:val="0"/>
          <w:numId w:val="0"/>
        </w:numPr>
        <w:shd w:val="clear"/>
        <w:jc w:val="center"/>
        <w:outlineLvl w:val="0"/>
        <w:rPr>
          <w:rFonts w:hint="eastAsia" w:ascii="仿宋_GB2312" w:hAnsi="仿宋_GB2312" w:eastAsia="仿宋_GB2312" w:cs="仿宋_GB2312"/>
          <w:bCs/>
          <w:color w:val="auto"/>
          <w:sz w:val="36"/>
          <w:szCs w:val="36"/>
          <w:highlight w:val="none"/>
          <w:u w:val="none"/>
        </w:rPr>
      </w:pPr>
      <w:r>
        <w:rPr>
          <w:rFonts w:hint="eastAsia" w:ascii="仿宋_GB2312" w:hAnsi="仿宋_GB2312" w:eastAsia="仿宋_GB2312" w:cs="仿宋_GB2312"/>
          <w:bCs/>
          <w:color w:val="auto"/>
          <w:sz w:val="36"/>
          <w:szCs w:val="36"/>
          <w:highlight w:val="none"/>
          <w:u w:val="none"/>
        </w:rPr>
        <w:t>合同条款及格式</w:t>
      </w:r>
    </w:p>
    <w:p>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_GB2312" w:hAnsi="仿宋_GB2312" w:eastAsia="仿宋_GB2312" w:cs="仿宋_GB2312"/>
          <w:b/>
          <w:bCs/>
          <w:color w:val="auto"/>
          <w:sz w:val="24"/>
          <w:szCs w:val="24"/>
          <w:highlight w:val="none"/>
          <w:u w:val="none"/>
          <w:lang w:val="en-US" w:eastAsia="zh-CN"/>
        </w:rPr>
      </w:pPr>
      <w:r>
        <w:rPr>
          <w:rFonts w:hint="eastAsia" w:ascii="仿宋_GB2312" w:hAnsi="仿宋_GB2312" w:eastAsia="仿宋_GB2312" w:cs="仿宋_GB2312"/>
          <w:b/>
          <w:bCs/>
          <w:color w:val="auto"/>
          <w:sz w:val="24"/>
          <w:szCs w:val="24"/>
          <w:highlight w:val="none"/>
          <w:u w:val="none"/>
          <w:lang w:val="zh-CN"/>
        </w:rPr>
        <w:t>采购人(以下简称甲方):</w:t>
      </w:r>
      <w:r>
        <w:rPr>
          <w:rFonts w:hint="eastAsia" w:ascii="仿宋_GB2312" w:hAnsi="仿宋_GB2312" w:eastAsia="仿宋_GB2312" w:cs="仿宋_GB2312"/>
          <w:b/>
          <w:bCs/>
          <w:color w:val="auto"/>
          <w:sz w:val="24"/>
          <w:szCs w:val="24"/>
          <w:highlight w:val="none"/>
          <w:u w:val="single"/>
          <w:lang w:val="en-US" w:eastAsia="zh-CN"/>
        </w:rPr>
        <w:t xml:space="preserve">                         </w:t>
      </w:r>
    </w:p>
    <w:p>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_GB2312" w:hAnsi="仿宋_GB2312" w:eastAsia="仿宋_GB2312" w:cs="仿宋_GB2312"/>
          <w:b/>
          <w:bCs/>
          <w:color w:val="auto"/>
          <w:sz w:val="24"/>
          <w:szCs w:val="24"/>
          <w:highlight w:val="none"/>
          <w:u w:val="none"/>
          <w:lang w:val="zh-CN"/>
        </w:rPr>
      </w:pPr>
      <w:r>
        <w:rPr>
          <w:rFonts w:hint="eastAsia" w:ascii="仿宋_GB2312" w:hAnsi="仿宋_GB2312" w:eastAsia="仿宋_GB2312" w:cs="仿宋_GB2312"/>
          <w:b/>
          <w:bCs/>
          <w:color w:val="auto"/>
          <w:sz w:val="24"/>
          <w:szCs w:val="24"/>
          <w:highlight w:val="none"/>
          <w:u w:val="none"/>
          <w:lang w:val="zh-CN"/>
        </w:rPr>
        <w:t>供应商(以下简称乙方):</w:t>
      </w:r>
      <w:r>
        <w:rPr>
          <w:rFonts w:hint="eastAsia" w:ascii="仿宋_GB2312" w:hAnsi="仿宋_GB2312" w:eastAsia="仿宋_GB2312" w:cs="仿宋_GB2312"/>
          <w:b/>
          <w:bCs/>
          <w:color w:val="auto"/>
          <w:sz w:val="24"/>
          <w:szCs w:val="24"/>
          <w:highlight w:val="none"/>
          <w:u w:val="single"/>
          <w:lang w:val="zh-CN"/>
        </w:rPr>
        <w:t xml:space="preserve">                         </w:t>
      </w:r>
    </w:p>
    <w:p>
      <w:pPr>
        <w:pStyle w:val="2"/>
        <w:shd w:val="clear"/>
        <w:rPr>
          <w:rFonts w:hint="eastAsia" w:ascii="仿宋_GB2312" w:hAnsi="仿宋_GB2312" w:eastAsia="仿宋_GB2312" w:cs="仿宋_GB2312"/>
          <w:color w:val="auto"/>
          <w:u w:val="none"/>
          <w:lang w:val="en-US" w:eastAsia="zh-CN"/>
        </w:rPr>
      </w:pPr>
    </w:p>
    <w:p>
      <w:pPr>
        <w:shd w:val="clear"/>
        <w:spacing w:line="360" w:lineRule="auto"/>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甲方就</w:t>
      </w:r>
      <w:r>
        <w:rPr>
          <w:rFonts w:hint="eastAsia" w:ascii="仿宋_GB2312" w:hAnsi="仿宋_GB2312" w:eastAsia="仿宋_GB2312" w:cs="仿宋_GB2312"/>
          <w:color w:val="auto"/>
          <w:sz w:val="24"/>
          <w:szCs w:val="24"/>
          <w:highlight w:val="none"/>
          <w:u w:val="single"/>
          <w:lang w:eastAsia="zh-CN"/>
        </w:rPr>
        <w:t>房屋建筑（含装饰装修）工程质量检查第三方技术服务（二次）</w:t>
      </w:r>
      <w:r>
        <w:rPr>
          <w:rFonts w:hint="eastAsia" w:ascii="仿宋_GB2312" w:hAnsi="仿宋_GB2312" w:eastAsia="仿宋_GB2312" w:cs="仿宋_GB2312"/>
          <w:color w:val="auto"/>
          <w:sz w:val="24"/>
          <w:szCs w:val="24"/>
          <w:highlight w:val="none"/>
          <w:u w:val="none"/>
        </w:rPr>
        <w:t>,按照政府采购程序组织竞争性磋商,确定乙方为</w:t>
      </w:r>
      <w:r>
        <w:rPr>
          <w:rFonts w:hint="eastAsia" w:ascii="仿宋_GB2312" w:hAnsi="仿宋_GB2312" w:eastAsia="仿宋_GB2312" w:cs="仿宋_GB2312"/>
          <w:color w:val="auto"/>
          <w:sz w:val="24"/>
          <w:szCs w:val="24"/>
          <w:highlight w:val="none"/>
          <w:u w:val="none"/>
          <w:lang w:eastAsia="zh-CN"/>
        </w:rPr>
        <w:t>（采购包</w:t>
      </w:r>
      <w:r>
        <w:rPr>
          <w:rFonts w:hint="eastAsia" w:ascii="仿宋_GB2312" w:hAnsi="仿宋_GB2312" w:eastAsia="仿宋_GB2312" w:cs="仿宋_GB2312"/>
          <w:color w:val="auto"/>
          <w:sz w:val="24"/>
          <w:szCs w:val="24"/>
          <w:highlight w:val="none"/>
          <w:u w:val="none"/>
          <w:lang w:val="en-US" w:eastAsia="zh-CN"/>
        </w:rPr>
        <w:t>1</w:t>
      </w:r>
      <w:r>
        <w:rPr>
          <w:rFonts w:hint="eastAsia" w:ascii="仿宋_GB2312" w:hAnsi="仿宋_GB2312" w:eastAsia="仿宋_GB2312" w:cs="仿宋_GB2312"/>
          <w:color w:val="auto"/>
          <w:sz w:val="24"/>
          <w:szCs w:val="24"/>
          <w:highlight w:val="none"/>
          <w:u w:val="none"/>
          <w:lang w:eastAsia="zh-CN"/>
        </w:rPr>
        <w:t>）</w:t>
      </w:r>
      <w:r>
        <w:rPr>
          <w:rFonts w:hint="eastAsia" w:ascii="仿宋_GB2312" w:hAnsi="仿宋_GB2312" w:eastAsia="仿宋_GB2312" w:cs="仿宋_GB2312"/>
          <w:color w:val="auto"/>
          <w:sz w:val="24"/>
          <w:szCs w:val="24"/>
          <w:highlight w:val="none"/>
          <w:u w:val="none"/>
        </w:rPr>
        <w:t>中标供应商｡根据《中</w:t>
      </w:r>
      <w:r>
        <w:rPr>
          <w:rFonts w:hint="eastAsia" w:ascii="仿宋_GB2312" w:hAnsi="仿宋_GB2312" w:eastAsia="仿宋_GB2312" w:cs="仿宋_GB2312"/>
          <w:color w:val="auto"/>
          <w:sz w:val="24"/>
          <w:szCs w:val="24"/>
          <w:highlight w:val="none"/>
          <w:u w:val="none"/>
          <w:lang w:eastAsia="zh-CN"/>
        </w:rPr>
        <w:t>华</w:t>
      </w:r>
      <w:r>
        <w:rPr>
          <w:rFonts w:hint="eastAsia" w:ascii="仿宋_GB2312" w:hAnsi="仿宋_GB2312" w:eastAsia="仿宋_GB2312" w:cs="仿宋_GB2312"/>
          <w:color w:val="auto"/>
          <w:sz w:val="24"/>
          <w:szCs w:val="24"/>
          <w:highlight w:val="none"/>
          <w:u w:val="none"/>
        </w:rPr>
        <w:t>人民共和国</w:t>
      </w:r>
      <w:r>
        <w:rPr>
          <w:rFonts w:hint="eastAsia" w:ascii="仿宋_GB2312" w:hAnsi="仿宋_GB2312" w:eastAsia="仿宋_GB2312" w:cs="仿宋_GB2312"/>
          <w:color w:val="auto"/>
          <w:sz w:val="24"/>
          <w:szCs w:val="24"/>
          <w:highlight w:val="none"/>
          <w:u w:val="none"/>
          <w:lang w:eastAsia="zh-CN"/>
        </w:rPr>
        <w:t>政府采购</w:t>
      </w:r>
      <w:r>
        <w:rPr>
          <w:rFonts w:hint="eastAsia" w:ascii="仿宋_GB2312" w:hAnsi="仿宋_GB2312" w:eastAsia="仿宋_GB2312" w:cs="仿宋_GB2312"/>
          <w:color w:val="auto"/>
          <w:sz w:val="24"/>
          <w:szCs w:val="24"/>
          <w:highlight w:val="none"/>
          <w:u w:val="none"/>
        </w:rPr>
        <w:t>法》《中</w:t>
      </w:r>
      <w:r>
        <w:rPr>
          <w:rFonts w:hint="eastAsia" w:ascii="仿宋_GB2312" w:hAnsi="仿宋_GB2312" w:eastAsia="仿宋_GB2312" w:cs="仿宋_GB2312"/>
          <w:color w:val="auto"/>
          <w:sz w:val="24"/>
          <w:szCs w:val="24"/>
          <w:highlight w:val="none"/>
          <w:u w:val="none"/>
          <w:lang w:eastAsia="zh-CN"/>
        </w:rPr>
        <w:t>华</w:t>
      </w:r>
      <w:r>
        <w:rPr>
          <w:rFonts w:hint="eastAsia" w:ascii="仿宋_GB2312" w:hAnsi="仿宋_GB2312" w:eastAsia="仿宋_GB2312" w:cs="仿宋_GB2312"/>
          <w:color w:val="auto"/>
          <w:sz w:val="24"/>
          <w:szCs w:val="24"/>
          <w:highlight w:val="none"/>
          <w:u w:val="none"/>
        </w:rPr>
        <w:t>人民共和国</w:t>
      </w:r>
      <w:r>
        <w:rPr>
          <w:rFonts w:hint="eastAsia" w:ascii="仿宋_GB2312" w:hAnsi="仿宋_GB2312" w:eastAsia="仿宋_GB2312" w:cs="仿宋_GB2312"/>
          <w:color w:val="auto"/>
          <w:sz w:val="24"/>
          <w:szCs w:val="24"/>
          <w:highlight w:val="none"/>
          <w:u w:val="none"/>
          <w:lang w:eastAsia="zh-CN"/>
        </w:rPr>
        <w:t>民法典</w:t>
      </w:r>
      <w:r>
        <w:rPr>
          <w:rFonts w:hint="eastAsia" w:ascii="仿宋_GB2312" w:hAnsi="仿宋_GB2312" w:eastAsia="仿宋_GB2312" w:cs="仿宋_GB2312"/>
          <w:color w:val="auto"/>
          <w:sz w:val="24"/>
          <w:szCs w:val="24"/>
          <w:highlight w:val="none"/>
          <w:u w:val="none"/>
        </w:rPr>
        <w:t>》及相关法律法规,甲､乙双方就</w:t>
      </w:r>
      <w:r>
        <w:rPr>
          <w:rFonts w:hint="eastAsia" w:ascii="仿宋_GB2312" w:hAnsi="仿宋_GB2312" w:eastAsia="仿宋_GB2312" w:cs="仿宋_GB2312"/>
          <w:color w:val="auto"/>
          <w:sz w:val="24"/>
          <w:szCs w:val="24"/>
          <w:highlight w:val="none"/>
          <w:u w:val="single"/>
          <w:lang w:val="en-US" w:eastAsia="zh-CN"/>
        </w:rPr>
        <w:t>西安市雁塔区住房和城乡建设局房屋建筑（含装饰装修）工程质量检查第三方技术服务（二次）</w:t>
      </w:r>
      <w:r>
        <w:rPr>
          <w:rFonts w:hint="eastAsia" w:ascii="仿宋_GB2312" w:hAnsi="仿宋_GB2312" w:eastAsia="仿宋_GB2312" w:cs="仿宋_GB2312"/>
          <w:color w:val="auto"/>
          <w:sz w:val="24"/>
          <w:szCs w:val="24"/>
          <w:highlight w:val="none"/>
          <w:u w:val="none"/>
        </w:rPr>
        <w:t>事宜,经协商一致,达成如下协议:</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一、</w:t>
      </w:r>
      <w:r>
        <w:rPr>
          <w:rFonts w:hint="eastAsia" w:ascii="仿宋_GB2312" w:hAnsi="仿宋_GB2312" w:eastAsia="仿宋_GB2312" w:cs="仿宋_GB2312"/>
          <w:b/>
          <w:color w:val="auto"/>
          <w:sz w:val="24"/>
          <w:szCs w:val="24"/>
          <w:highlight w:val="none"/>
          <w:u w:val="none"/>
          <w:lang w:val="en-US" w:eastAsia="zh-CN"/>
        </w:rPr>
        <w:t>合同内容</w:t>
      </w:r>
    </w:p>
    <w:p>
      <w:pPr>
        <w:pStyle w:val="9"/>
        <w:shd w:val="clear"/>
        <w:spacing w:line="360" w:lineRule="auto"/>
        <w:ind w:firstLine="0"/>
        <w:jc w:val="left"/>
        <w:rPr>
          <w:rFonts w:hint="eastAsia" w:ascii="仿宋_GB2312" w:hAnsi="仿宋_GB2312" w:eastAsia="仿宋_GB2312" w:cs="仿宋_GB2312"/>
          <w:color w:val="auto"/>
          <w:kern w:val="2"/>
          <w:sz w:val="24"/>
          <w:szCs w:val="24"/>
          <w:highlight w:val="none"/>
          <w:u w:val="none"/>
          <w:lang w:val="en-US" w:eastAsia="zh-CN" w:bidi="ar-SA"/>
        </w:rPr>
      </w:pPr>
      <w:r>
        <w:rPr>
          <w:rFonts w:hint="eastAsia" w:ascii="仿宋_GB2312" w:hAnsi="仿宋_GB2312" w:eastAsia="仿宋_GB2312" w:cs="仿宋_GB2312"/>
          <w:color w:val="auto"/>
          <w:kern w:val="2"/>
          <w:sz w:val="24"/>
          <w:szCs w:val="24"/>
          <w:highlight w:val="none"/>
          <w:u w:val="none"/>
          <w:lang w:val="en-US" w:eastAsia="zh-CN" w:bidi="ar-SA"/>
        </w:rPr>
        <w:t>西安市雁塔区住房和城乡建设局房屋建筑（含装饰装修）工程质量检查第三方技术服务（二次）等,具体内容:</w:t>
      </w:r>
    </w:p>
    <w:tbl>
      <w:tblPr>
        <w:tblStyle w:val="7"/>
        <w:tblW w:w="9438" w:type="dxa"/>
        <w:tblInd w:w="0" w:type="dxa"/>
        <w:tblLayout w:type="fixed"/>
        <w:tblCellMar>
          <w:top w:w="0" w:type="dxa"/>
          <w:left w:w="28" w:type="dxa"/>
          <w:bottom w:w="0" w:type="dxa"/>
          <w:right w:w="28" w:type="dxa"/>
        </w:tblCellMar>
      </w:tblPr>
      <w:tblGrid>
        <w:gridCol w:w="770"/>
        <w:gridCol w:w="1679"/>
        <w:gridCol w:w="1607"/>
        <w:gridCol w:w="1510"/>
        <w:gridCol w:w="1715"/>
        <w:gridCol w:w="1460"/>
        <w:gridCol w:w="697"/>
      </w:tblGrid>
      <w:tr>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序号</w:t>
            </w:r>
          </w:p>
        </w:tc>
        <w:tc>
          <w:tcPr>
            <w:tcW w:w="1679" w:type="dxa"/>
            <w:tcBorders>
              <w:top w:val="single" w:color="auto" w:sz="6" w:space="0"/>
              <w:left w:val="single" w:color="auto" w:sz="6"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val="en-US" w:eastAsia="zh-CN"/>
              </w:rPr>
              <w:t>服务</w:t>
            </w:r>
            <w:r>
              <w:rPr>
                <w:rFonts w:hint="eastAsia" w:ascii="仿宋_GB2312" w:hAnsi="仿宋_GB2312" w:eastAsia="仿宋_GB2312" w:cs="仿宋_GB2312"/>
                <w:color w:val="auto"/>
                <w:sz w:val="24"/>
                <w:szCs w:val="24"/>
                <w:highlight w:val="none"/>
                <w:u w:val="none"/>
              </w:rPr>
              <w:t>名称</w:t>
            </w:r>
          </w:p>
        </w:tc>
        <w:tc>
          <w:tcPr>
            <w:tcW w:w="1607" w:type="dxa"/>
            <w:tcBorders>
              <w:top w:val="single" w:color="auto" w:sz="6" w:space="0"/>
              <w:left w:val="single" w:color="auto" w:sz="6"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lang w:val="en-US" w:eastAsia="zh-CN"/>
              </w:rPr>
            </w:pPr>
            <w:r>
              <w:rPr>
                <w:rFonts w:hint="eastAsia" w:ascii="仿宋_GB2312" w:hAnsi="仿宋_GB2312" w:eastAsia="仿宋_GB2312" w:cs="仿宋_GB2312"/>
                <w:color w:val="auto"/>
                <w:sz w:val="24"/>
                <w:szCs w:val="24"/>
                <w:highlight w:val="none"/>
                <w:u w:val="none"/>
                <w:lang w:val="en-US" w:eastAsia="zh-CN"/>
              </w:rPr>
              <w:t>计量单位</w:t>
            </w: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数量</w:t>
            </w: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lang w:val="en-US" w:eastAsia="zh-CN"/>
              </w:rPr>
            </w:pPr>
            <w:r>
              <w:rPr>
                <w:rFonts w:hint="eastAsia" w:ascii="仿宋_GB2312" w:hAnsi="仿宋_GB2312" w:eastAsia="仿宋_GB2312" w:cs="仿宋_GB2312"/>
                <w:color w:val="auto"/>
                <w:sz w:val="24"/>
                <w:szCs w:val="24"/>
                <w:highlight w:val="none"/>
                <w:u w:val="none"/>
                <w:lang w:val="en-US" w:eastAsia="zh-CN"/>
              </w:rPr>
              <w:t>单价（元）</w:t>
            </w:r>
          </w:p>
        </w:tc>
        <w:tc>
          <w:tcPr>
            <w:tcW w:w="146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金额(元)</w:t>
            </w:r>
          </w:p>
        </w:tc>
        <w:tc>
          <w:tcPr>
            <w:tcW w:w="697"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备注</w:t>
            </w: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adjustRightInd w:val="0"/>
              <w:snapToGrid w:val="0"/>
              <w:spacing w:line="360" w:lineRule="auto"/>
              <w:jc w:val="center"/>
              <w:rPr>
                <w:rFonts w:hint="eastAsia" w:ascii="仿宋_GB2312" w:hAnsi="仿宋_GB2312" w:eastAsia="仿宋_GB2312" w:cs="仿宋_GB2312"/>
                <w:color w:val="auto"/>
                <w:sz w:val="22"/>
                <w:szCs w:val="22"/>
                <w:highlight w:val="none"/>
                <w:u w:val="none"/>
              </w:rPr>
            </w:pPr>
            <w:r>
              <w:rPr>
                <w:rFonts w:hint="eastAsia" w:ascii="仿宋_GB2312" w:hAnsi="仿宋_GB2312" w:eastAsia="仿宋_GB2312" w:cs="仿宋_GB2312"/>
                <w:color w:val="auto"/>
                <w:sz w:val="22"/>
                <w:szCs w:val="22"/>
                <w:highlight w:val="none"/>
                <w:u w:val="none"/>
              </w:rPr>
              <w:t>1</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rPr>
            </w:pP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auto"/>
                <w:sz w:val="22"/>
                <w:szCs w:val="22"/>
                <w:highlight w:val="none"/>
                <w:u w:val="none"/>
                <w:lang w:val="en-US" w:eastAsia="zh-CN"/>
              </w:rPr>
            </w:pPr>
            <w:r>
              <w:rPr>
                <w:rFonts w:hint="eastAsia" w:ascii="仿宋_GB2312" w:hAnsi="仿宋_GB2312" w:eastAsia="仿宋_GB2312" w:cs="仿宋_GB2312"/>
                <w:color w:val="auto"/>
                <w:sz w:val="22"/>
                <w:szCs w:val="22"/>
                <w:highlight w:val="none"/>
                <w:u w:val="none"/>
                <w:lang w:val="en-US" w:eastAsia="zh-CN"/>
              </w:rPr>
              <w:t>无</w:t>
            </w:r>
          </w:p>
        </w:tc>
      </w:tr>
      <w:tr>
        <w:tblPrEx>
          <w:tblCellMar>
            <w:top w:w="0" w:type="dxa"/>
            <w:left w:w="28" w:type="dxa"/>
            <w:bottom w:w="0" w:type="dxa"/>
            <w:right w:w="28" w:type="dxa"/>
          </w:tblCellMar>
        </w:tblPrEx>
        <w:trPr>
          <w:trHeight w:val="429" w:hRule="atLeast"/>
        </w:trPr>
        <w:tc>
          <w:tcPr>
            <w:tcW w:w="2449" w:type="dxa"/>
            <w:gridSpan w:val="2"/>
            <w:tcBorders>
              <w:top w:val="single" w:color="auto" w:sz="4" w:space="0"/>
              <w:left w:val="single" w:color="auto" w:sz="6" w:space="0"/>
              <w:bottom w:val="single" w:color="auto" w:sz="4" w:space="0"/>
              <w:right w:val="single" w:color="auto" w:sz="6" w:space="0"/>
            </w:tcBorders>
            <w:noWrap w:val="0"/>
            <w:vAlign w:val="center"/>
          </w:tcPr>
          <w:p>
            <w:pPr>
              <w:shd w:val="clear"/>
              <w:snapToGrid w:val="0"/>
              <w:spacing w:before="249" w:beforeLines="50" w:line="360" w:lineRule="auto"/>
              <w:jc w:val="center"/>
              <w:rPr>
                <w:rFonts w:hint="eastAsia" w:ascii="仿宋_GB2312" w:hAnsi="仿宋_GB2312" w:eastAsia="仿宋_GB2312" w:cs="仿宋_GB2312"/>
                <w:color w:val="auto"/>
                <w:sz w:val="22"/>
                <w:szCs w:val="22"/>
                <w:highlight w:val="none"/>
                <w:u w:val="none"/>
                <w:lang w:val="en-US" w:eastAsia="zh-CN"/>
              </w:rPr>
            </w:pPr>
            <w:r>
              <w:rPr>
                <w:rFonts w:hint="eastAsia" w:ascii="仿宋_GB2312" w:hAnsi="仿宋_GB2312" w:eastAsia="仿宋_GB2312" w:cs="仿宋_GB2312"/>
                <w:color w:val="auto"/>
                <w:sz w:val="22"/>
                <w:szCs w:val="22"/>
                <w:highlight w:val="none"/>
                <w:u w:val="none"/>
                <w:lang w:val="en-US" w:eastAsia="zh-CN"/>
              </w:rPr>
              <w:t>合  计</w:t>
            </w:r>
          </w:p>
        </w:tc>
        <w:tc>
          <w:tcPr>
            <w:tcW w:w="6989" w:type="dxa"/>
            <w:gridSpan w:val="5"/>
            <w:tcBorders>
              <w:top w:val="single" w:color="auto" w:sz="4" w:space="0"/>
              <w:left w:val="single" w:color="auto" w:sz="6" w:space="0"/>
              <w:bottom w:val="single" w:color="auto" w:sz="4" w:space="0"/>
              <w:right w:val="single" w:color="auto" w:sz="4" w:space="0"/>
            </w:tcBorders>
            <w:noWrap w:val="0"/>
            <w:vAlign w:val="center"/>
          </w:tcPr>
          <w:p>
            <w:pPr>
              <w:shd w:val="clear"/>
              <w:snapToGrid w:val="0"/>
              <w:spacing w:before="249" w:beforeLines="50" w:line="360" w:lineRule="auto"/>
              <w:rPr>
                <w:rFonts w:hint="eastAsia" w:ascii="仿宋_GB2312" w:hAnsi="仿宋_GB2312" w:eastAsia="仿宋_GB2312" w:cs="仿宋_GB2312"/>
                <w:b/>
                <w:color w:val="auto"/>
                <w:sz w:val="22"/>
                <w:szCs w:val="22"/>
                <w:highlight w:val="none"/>
                <w:u w:val="none"/>
                <w:lang w:val="en-US" w:eastAsia="zh-CN"/>
              </w:rPr>
            </w:pPr>
            <w:r>
              <w:rPr>
                <w:rFonts w:hint="eastAsia" w:ascii="仿宋_GB2312" w:hAnsi="仿宋_GB2312" w:eastAsia="仿宋_GB2312" w:cs="仿宋_GB2312"/>
                <w:b/>
                <w:color w:val="auto"/>
                <w:sz w:val="22"/>
                <w:szCs w:val="22"/>
                <w:highlight w:val="none"/>
                <w:u w:val="none"/>
                <w:lang w:val="en-US" w:eastAsia="zh-CN"/>
              </w:rPr>
              <w:t xml:space="preserve">人民币:(大写)        元整 (小写)     元    </w:t>
            </w:r>
          </w:p>
        </w:tc>
      </w:tr>
    </w:tbl>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二、</w:t>
      </w:r>
      <w:r>
        <w:rPr>
          <w:rFonts w:hint="eastAsia" w:ascii="仿宋_GB2312" w:hAnsi="仿宋_GB2312" w:eastAsia="仿宋_GB2312" w:cs="仿宋_GB2312"/>
          <w:b/>
          <w:color w:val="auto"/>
          <w:sz w:val="24"/>
          <w:szCs w:val="24"/>
          <w:highlight w:val="none"/>
          <w:u w:val="none"/>
          <w:lang w:val="en-US" w:eastAsia="zh-CN"/>
        </w:rPr>
        <w:t>合同组成</w:t>
      </w:r>
    </w:p>
    <w:p>
      <w:pPr>
        <w:numPr>
          <w:ilvl w:val="0"/>
          <w:numId w:val="1"/>
        </w:numPr>
        <w:shd w:val="clear"/>
        <w:tabs>
          <w:tab w:val="left" w:pos="735"/>
        </w:tabs>
        <w:adjustRightInd w:val="0"/>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下述文件是构成本合同不可分割的部分:</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本合同条款及其所有附件｡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甲方的</w:t>
      </w:r>
      <w:r>
        <w:rPr>
          <w:rFonts w:hint="eastAsia" w:ascii="仿宋_GB2312" w:hAnsi="仿宋_GB2312" w:eastAsia="仿宋_GB2312" w:cs="仿宋_GB2312"/>
          <w:color w:val="auto"/>
          <w:sz w:val="24"/>
          <w:szCs w:val="24"/>
          <w:highlight w:val="none"/>
          <w:u w:val="none"/>
          <w:lang w:val="en-US" w:eastAsia="zh-CN"/>
        </w:rPr>
        <w:t>竞争性磋商文件</w:t>
      </w:r>
      <w:r>
        <w:rPr>
          <w:rFonts w:hint="eastAsia" w:ascii="仿宋_GB2312" w:hAnsi="仿宋_GB2312" w:eastAsia="仿宋_GB2312" w:cs="仿宋_GB2312"/>
          <w:color w:val="auto"/>
          <w:sz w:val="24"/>
          <w:szCs w:val="24"/>
          <w:highlight w:val="none"/>
          <w:u w:val="none"/>
        </w:rPr>
        <w:t>及澄清文件｡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乙方的</w:t>
      </w:r>
      <w:r>
        <w:rPr>
          <w:rFonts w:hint="eastAsia" w:ascii="仿宋_GB2312" w:hAnsi="仿宋_GB2312" w:eastAsia="仿宋_GB2312" w:cs="仿宋_GB2312"/>
          <w:color w:val="auto"/>
          <w:sz w:val="24"/>
          <w:szCs w:val="24"/>
          <w:highlight w:val="none"/>
          <w:u w:val="none"/>
          <w:lang w:val="en-US" w:eastAsia="zh-CN"/>
        </w:rPr>
        <w:t>磋商响应文件</w:t>
      </w:r>
      <w:r>
        <w:rPr>
          <w:rFonts w:hint="eastAsia" w:ascii="仿宋_GB2312" w:hAnsi="仿宋_GB2312" w:eastAsia="仿宋_GB2312" w:cs="仿宋_GB2312"/>
          <w:color w:val="auto"/>
          <w:sz w:val="24"/>
          <w:szCs w:val="24"/>
          <w:highlight w:val="none"/>
          <w:u w:val="none"/>
        </w:rPr>
        <w:t>及质疑解答文件｡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eastAsia="zh-CN"/>
        </w:rPr>
        <w:t>成交</w:t>
      </w:r>
      <w:r>
        <w:rPr>
          <w:rFonts w:hint="eastAsia" w:ascii="仿宋_GB2312" w:hAnsi="仿宋_GB2312" w:eastAsia="仿宋_GB2312" w:cs="仿宋_GB2312"/>
          <w:color w:val="auto"/>
          <w:sz w:val="24"/>
          <w:szCs w:val="24"/>
          <w:highlight w:val="none"/>
          <w:u w:val="none"/>
        </w:rPr>
        <w:t>通知书｡</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双方与合同有关的往来信函､传真经双方法定代表人或其授权代表签字并加盖单位公章确认后视为本合同的组成部分｡</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经双方法定代表人或其授权代表签字并加盖单位公章确认的补充协议｡</w:t>
      </w:r>
    </w:p>
    <w:p>
      <w:pPr>
        <w:numPr>
          <w:ilvl w:val="0"/>
          <w:numId w:val="1"/>
        </w:numPr>
        <w:shd w:val="clear"/>
        <w:tabs>
          <w:tab w:val="left" w:pos="735"/>
        </w:tabs>
        <w:adjustRightInd w:val="0"/>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如果乙方的</w:t>
      </w:r>
      <w:r>
        <w:rPr>
          <w:rFonts w:hint="eastAsia" w:ascii="仿宋_GB2312" w:hAnsi="仿宋_GB2312" w:eastAsia="仿宋_GB2312" w:cs="仿宋_GB2312"/>
          <w:color w:val="auto"/>
          <w:sz w:val="24"/>
          <w:szCs w:val="24"/>
          <w:highlight w:val="none"/>
          <w:u w:val="none"/>
          <w:lang w:eastAsia="zh-CN"/>
        </w:rPr>
        <w:t>磋商响应文件</w:t>
      </w:r>
      <w:r>
        <w:rPr>
          <w:rFonts w:hint="eastAsia" w:ascii="仿宋_GB2312" w:hAnsi="仿宋_GB2312" w:eastAsia="仿宋_GB2312" w:cs="仿宋_GB2312"/>
          <w:color w:val="auto"/>
          <w:sz w:val="24"/>
          <w:szCs w:val="24"/>
          <w:highlight w:val="none"/>
          <w:u w:val="none"/>
        </w:rPr>
        <w:t>及质疑解答文件内容违背或低于甲方</w:t>
      </w:r>
      <w:r>
        <w:rPr>
          <w:rFonts w:hint="eastAsia" w:ascii="仿宋_GB2312" w:hAnsi="仿宋_GB2312" w:eastAsia="仿宋_GB2312" w:cs="仿宋_GB2312"/>
          <w:color w:val="auto"/>
          <w:sz w:val="24"/>
          <w:szCs w:val="24"/>
          <w:highlight w:val="none"/>
          <w:u w:val="none"/>
          <w:lang w:eastAsia="zh-CN"/>
        </w:rPr>
        <w:t>竞争性磋商文件</w:t>
      </w:r>
      <w:r>
        <w:rPr>
          <w:rFonts w:hint="eastAsia" w:ascii="仿宋_GB2312" w:hAnsi="仿宋_GB2312" w:eastAsia="仿宋_GB2312" w:cs="仿宋_GB2312"/>
          <w:color w:val="auto"/>
          <w:sz w:val="24"/>
          <w:szCs w:val="24"/>
          <w:highlight w:val="none"/>
          <w:u w:val="none"/>
        </w:rPr>
        <w:t>要求或任何可能导致影响当次采购目的的情形,均应当被视为乙方自动放弃</w:t>
      </w:r>
      <w:r>
        <w:rPr>
          <w:rFonts w:hint="eastAsia" w:ascii="仿宋_GB2312" w:hAnsi="仿宋_GB2312" w:eastAsia="仿宋_GB2312" w:cs="仿宋_GB2312"/>
          <w:color w:val="auto"/>
          <w:sz w:val="24"/>
          <w:szCs w:val="24"/>
          <w:highlight w:val="none"/>
          <w:u w:val="none"/>
          <w:lang w:eastAsia="zh-CN"/>
        </w:rPr>
        <w:t>磋商响应文件</w:t>
      </w:r>
      <w:r>
        <w:rPr>
          <w:rFonts w:hint="eastAsia" w:ascii="仿宋_GB2312" w:hAnsi="仿宋_GB2312" w:eastAsia="仿宋_GB2312" w:cs="仿宋_GB2312"/>
          <w:color w:val="auto"/>
          <w:sz w:val="24"/>
          <w:szCs w:val="24"/>
          <w:highlight w:val="none"/>
          <w:u w:val="none"/>
        </w:rPr>
        <w:t>及质疑解答文件中相应部分而同意以</w:t>
      </w:r>
      <w:r>
        <w:rPr>
          <w:rFonts w:hint="eastAsia" w:ascii="仿宋_GB2312" w:hAnsi="仿宋_GB2312" w:eastAsia="仿宋_GB2312" w:cs="仿宋_GB2312"/>
          <w:color w:val="auto"/>
          <w:sz w:val="24"/>
          <w:szCs w:val="24"/>
          <w:highlight w:val="none"/>
          <w:u w:val="none"/>
          <w:lang w:eastAsia="zh-CN"/>
        </w:rPr>
        <w:t>竞争性磋商文件</w:t>
      </w:r>
      <w:r>
        <w:rPr>
          <w:rFonts w:hint="eastAsia" w:ascii="仿宋_GB2312" w:hAnsi="仿宋_GB2312" w:eastAsia="仿宋_GB2312" w:cs="仿宋_GB2312"/>
          <w:color w:val="auto"/>
          <w:sz w:val="24"/>
          <w:szCs w:val="24"/>
          <w:highlight w:val="none"/>
          <w:u w:val="none"/>
        </w:rPr>
        <w:t>相应内容为准｡如果乙方的</w:t>
      </w:r>
      <w:r>
        <w:rPr>
          <w:rFonts w:hint="eastAsia" w:ascii="仿宋_GB2312" w:hAnsi="仿宋_GB2312" w:eastAsia="仿宋_GB2312" w:cs="仿宋_GB2312"/>
          <w:color w:val="auto"/>
          <w:sz w:val="24"/>
          <w:szCs w:val="24"/>
          <w:highlight w:val="none"/>
          <w:u w:val="none"/>
          <w:lang w:eastAsia="zh-CN"/>
        </w:rPr>
        <w:t>磋商响应文件</w:t>
      </w:r>
      <w:r>
        <w:rPr>
          <w:rFonts w:hint="eastAsia" w:ascii="仿宋_GB2312" w:hAnsi="仿宋_GB2312" w:eastAsia="仿宋_GB2312" w:cs="仿宋_GB2312"/>
          <w:color w:val="auto"/>
          <w:sz w:val="24"/>
          <w:szCs w:val="24"/>
          <w:highlight w:val="none"/>
          <w:u w:val="none"/>
        </w:rPr>
        <w:t>及质疑解答文件内容高于甲方</w:t>
      </w:r>
      <w:r>
        <w:rPr>
          <w:rFonts w:hint="eastAsia" w:ascii="仿宋_GB2312" w:hAnsi="仿宋_GB2312" w:eastAsia="仿宋_GB2312" w:cs="仿宋_GB2312"/>
          <w:color w:val="auto"/>
          <w:sz w:val="24"/>
          <w:szCs w:val="24"/>
          <w:highlight w:val="none"/>
          <w:u w:val="none"/>
          <w:lang w:eastAsia="zh-CN"/>
        </w:rPr>
        <w:t>竞争性磋商文件</w:t>
      </w:r>
      <w:r>
        <w:rPr>
          <w:rFonts w:hint="eastAsia" w:ascii="仿宋_GB2312" w:hAnsi="仿宋_GB2312" w:eastAsia="仿宋_GB2312" w:cs="仿宋_GB2312"/>
          <w:color w:val="auto"/>
          <w:sz w:val="24"/>
          <w:szCs w:val="24"/>
          <w:highlight w:val="none"/>
          <w:u w:val="none"/>
        </w:rPr>
        <w:t>要求,则以乙方的</w:t>
      </w:r>
      <w:r>
        <w:rPr>
          <w:rFonts w:hint="eastAsia" w:ascii="仿宋_GB2312" w:hAnsi="仿宋_GB2312" w:eastAsia="仿宋_GB2312" w:cs="仿宋_GB2312"/>
          <w:color w:val="auto"/>
          <w:sz w:val="24"/>
          <w:szCs w:val="24"/>
          <w:highlight w:val="none"/>
          <w:u w:val="none"/>
          <w:lang w:eastAsia="zh-CN"/>
        </w:rPr>
        <w:t>磋商响应文件</w:t>
      </w:r>
      <w:r>
        <w:rPr>
          <w:rFonts w:hint="eastAsia" w:ascii="仿宋_GB2312" w:hAnsi="仿宋_GB2312" w:eastAsia="仿宋_GB2312" w:cs="仿宋_GB2312"/>
          <w:color w:val="auto"/>
          <w:sz w:val="24"/>
          <w:szCs w:val="24"/>
          <w:highlight w:val="none"/>
          <w:u w:val="none"/>
        </w:rPr>
        <w:t>及质疑解答文件内容为准｡如果合同条款与合同附件有矛盾之处,以合同条款内容为准｡如果合同附件之间有矛盾之处,以有利于甲方的附件内容为准｡</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三、</w:t>
      </w:r>
      <w:r>
        <w:rPr>
          <w:rFonts w:hint="eastAsia" w:ascii="仿宋_GB2312" w:hAnsi="仿宋_GB2312" w:eastAsia="仿宋_GB2312" w:cs="仿宋_GB2312"/>
          <w:b/>
          <w:color w:val="auto"/>
          <w:sz w:val="24"/>
          <w:szCs w:val="24"/>
          <w:highlight w:val="none"/>
          <w:u w:val="none"/>
          <w:lang w:val="en-US" w:eastAsia="zh-CN"/>
        </w:rPr>
        <w:t>合同价款</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合同总价款为</w:t>
      </w:r>
      <w:r>
        <w:rPr>
          <w:rFonts w:hint="eastAsia" w:ascii="仿宋_GB2312" w:hAnsi="仿宋_GB2312" w:eastAsia="仿宋_GB2312" w:cs="仿宋_GB2312"/>
          <w:b/>
          <w:color w:val="auto"/>
          <w:sz w:val="22"/>
          <w:szCs w:val="22"/>
          <w:highlight w:val="none"/>
          <w:u w:val="none"/>
          <w:lang w:val="en-US" w:eastAsia="zh-CN"/>
        </w:rPr>
        <w:t>人民币:(大写)</w:t>
      </w:r>
      <w:r>
        <w:rPr>
          <w:rFonts w:hint="eastAsia" w:ascii="仿宋_GB2312" w:hAnsi="仿宋_GB2312" w:eastAsia="仿宋_GB2312" w:cs="仿宋_GB2312"/>
          <w:b/>
          <w:color w:val="auto"/>
          <w:sz w:val="22"/>
          <w:szCs w:val="22"/>
          <w:highlight w:val="none"/>
          <w:u w:val="single"/>
          <w:lang w:val="en-US" w:eastAsia="zh-CN"/>
        </w:rPr>
        <w:t xml:space="preserve">       </w:t>
      </w:r>
      <w:r>
        <w:rPr>
          <w:rFonts w:hint="eastAsia" w:ascii="仿宋_GB2312" w:hAnsi="仿宋_GB2312" w:eastAsia="仿宋_GB2312" w:cs="仿宋_GB2312"/>
          <w:b/>
          <w:color w:val="auto"/>
          <w:sz w:val="22"/>
          <w:szCs w:val="22"/>
          <w:highlight w:val="none"/>
          <w:u w:val="none"/>
          <w:lang w:val="en-US" w:eastAsia="zh-CN"/>
        </w:rPr>
        <w:t>元整(小写)</w:t>
      </w:r>
      <w:r>
        <w:rPr>
          <w:rFonts w:hint="eastAsia" w:ascii="仿宋_GB2312" w:hAnsi="仿宋_GB2312" w:eastAsia="仿宋_GB2312" w:cs="仿宋_GB2312"/>
          <w:b/>
          <w:color w:val="auto"/>
          <w:sz w:val="22"/>
          <w:szCs w:val="22"/>
          <w:highlight w:val="none"/>
          <w:u w:val="single"/>
          <w:lang w:val="en-US" w:eastAsia="zh-CN"/>
        </w:rPr>
        <w:t xml:space="preserve">     </w:t>
      </w:r>
      <w:r>
        <w:rPr>
          <w:rFonts w:hint="eastAsia" w:ascii="仿宋_GB2312" w:hAnsi="仿宋_GB2312" w:eastAsia="仿宋_GB2312" w:cs="仿宋_GB2312"/>
          <w:b/>
          <w:color w:val="auto"/>
          <w:sz w:val="22"/>
          <w:szCs w:val="22"/>
          <w:highlight w:val="none"/>
          <w:u w:val="none"/>
          <w:lang w:val="en-US" w:eastAsia="zh-CN"/>
        </w:rPr>
        <w:t>元</w:t>
      </w:r>
      <w:r>
        <w:rPr>
          <w:rFonts w:hint="eastAsia" w:ascii="仿宋_GB2312" w:hAnsi="仿宋_GB2312" w:eastAsia="仿宋_GB2312" w:cs="仿宋_GB2312"/>
          <w:color w:val="auto"/>
          <w:sz w:val="24"/>
          <w:szCs w:val="24"/>
          <w:highlight w:val="none"/>
          <w:u w:val="none"/>
        </w:rPr>
        <w:t>｡</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合同总价包括:服务费、售后服务费、利润、税金、保险、相关伴随费用等的一切费用。</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合同总价一次性包死,不受市场价格变化因素的影响｡</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甲方不再另付任何费用｡</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四、</w:t>
      </w:r>
      <w:r>
        <w:rPr>
          <w:rFonts w:hint="eastAsia" w:ascii="仿宋_GB2312" w:hAnsi="仿宋_GB2312" w:eastAsia="仿宋_GB2312" w:cs="仿宋_GB2312"/>
          <w:b/>
          <w:color w:val="auto"/>
          <w:sz w:val="24"/>
          <w:szCs w:val="24"/>
          <w:highlight w:val="none"/>
          <w:u w:val="none"/>
          <w:lang w:val="en-US" w:eastAsia="zh-CN"/>
        </w:rPr>
        <w:t>合同结算</w:t>
      </w:r>
    </w:p>
    <w:p>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支付方式:银行转帐｡</w:t>
      </w:r>
    </w:p>
    <w:p>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结算方式:</w:t>
      </w:r>
      <w:r>
        <w:rPr>
          <w:rFonts w:hint="eastAsia" w:ascii="仿宋_GB2312" w:hAnsi="仿宋_GB2312" w:eastAsia="仿宋_GB2312" w:cs="仿宋_GB2312"/>
          <w:color w:val="auto"/>
          <w:sz w:val="24"/>
          <w:szCs w:val="24"/>
          <w:highlight w:val="none"/>
          <w:u w:val="none"/>
          <w:lang w:val="en-US" w:eastAsia="zh-CN"/>
        </w:rPr>
        <w:t>合同签订后，供应商须提供符合税务规定的合法有效发票，达到付款条件起10个工作日内，支付合同总金额的40.00%。服务至半年后，供应商须提供技术服务半年报，并附符合税务规定的合法有效发票，达到付款条件起10个工作日内，支付合同总金额的25.00%。服务完成后，供应商须提供技术服务年度报，并附符合税务规定的合法有效发票，达到付款条件起10个工作日内，支付合同总金额的35.00%。</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五、</w:t>
      </w:r>
      <w:r>
        <w:rPr>
          <w:rFonts w:hint="eastAsia" w:ascii="仿宋_GB2312" w:hAnsi="仿宋_GB2312" w:eastAsia="仿宋_GB2312" w:cs="仿宋_GB2312"/>
          <w:b/>
          <w:color w:val="auto"/>
          <w:sz w:val="24"/>
          <w:szCs w:val="24"/>
          <w:highlight w:val="none"/>
          <w:u w:val="none"/>
          <w:lang w:val="en-US" w:eastAsia="zh-CN"/>
        </w:rPr>
        <w:t>服务地点及服务期</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highlight w:val="none"/>
          <w:u w:val="none"/>
        </w:rPr>
        <w:t>服务地点:</w:t>
      </w:r>
      <w:r>
        <w:rPr>
          <w:rFonts w:hint="eastAsia" w:ascii="仿宋_GB2312" w:hAnsi="仿宋_GB2312" w:eastAsia="仿宋_GB2312" w:cs="仿宋_GB2312"/>
          <w:color w:val="auto"/>
          <w:vertAlign w:val="baseline"/>
          <w:lang w:val="en-US" w:eastAsia="zh-CN"/>
        </w:rPr>
        <w:t>采购方指定地点。</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lang w:val="en-US" w:eastAsia="zh-CN"/>
        </w:rPr>
      </w:pPr>
      <w:bookmarkStart w:id="1" w:name="OLE_LINK13"/>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highlight w:val="none"/>
          <w:u w:val="none"/>
        </w:rPr>
        <w:t>服务</w:t>
      </w:r>
      <w:bookmarkEnd w:id="1"/>
      <w:r>
        <w:rPr>
          <w:rFonts w:hint="eastAsia" w:ascii="仿宋_GB2312" w:hAnsi="仿宋_GB2312" w:eastAsia="仿宋_GB2312" w:cs="仿宋_GB2312"/>
          <w:color w:val="auto"/>
          <w:sz w:val="24"/>
          <w:szCs w:val="24"/>
          <w:highlight w:val="none"/>
          <w:u w:val="none"/>
          <w:lang w:val="en-US" w:eastAsia="zh-CN"/>
        </w:rPr>
        <w:t>期限</w:t>
      </w:r>
      <w:r>
        <w:rPr>
          <w:rFonts w:hint="eastAsia" w:ascii="仿宋_GB2312" w:hAnsi="仿宋_GB2312" w:eastAsia="仿宋_GB2312" w:cs="仿宋_GB2312"/>
          <w:color w:val="auto"/>
          <w:sz w:val="24"/>
          <w:szCs w:val="24"/>
          <w:highlight w:val="none"/>
          <w:u w:val="none"/>
        </w:rPr>
        <w:t>:自合同签订生效之日起1年。</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六、</w:t>
      </w:r>
      <w:r>
        <w:rPr>
          <w:rFonts w:hint="eastAsia" w:ascii="仿宋_GB2312" w:hAnsi="仿宋_GB2312" w:eastAsia="仿宋_GB2312" w:cs="仿宋_GB2312"/>
          <w:b/>
          <w:color w:val="auto"/>
          <w:sz w:val="24"/>
          <w:szCs w:val="24"/>
          <w:highlight w:val="none"/>
          <w:u w:val="none"/>
          <w:lang w:val="en-US" w:eastAsia="zh-CN"/>
        </w:rPr>
        <w:t>双方的权利和义务</w:t>
      </w:r>
    </w:p>
    <w:p>
      <w:pPr>
        <w:numPr>
          <w:ilvl w:val="0"/>
          <w:numId w:val="5"/>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甲方的权利和义务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1.甲方有权对合同规定范围内乙方的服务行为进行监督和检查，拥有监管权。有权定期核对乙方提供服务所配备的人员数量。对甲方认为不合理的部分有权下达整改通知书，并要求乙方限期整改。</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2.甲方有权依据双方签订的考评办法对乙方提供的服务进行定期考评。当考评结果未达到标准时，有权依据考评办法约定的数额扣除履约保证金。</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3.负责检查监督乙方管理工作的实施及制度的执行情况。</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4.根据本合同规定，按时向乙方支付应付服务费用。</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5.国家法律、法规所规定由甲方承担的其它责任。</w:t>
      </w:r>
    </w:p>
    <w:p>
      <w:pPr>
        <w:numPr>
          <w:ilvl w:val="0"/>
          <w:numId w:val="5"/>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乙方的权利和义务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1.对本合同规定的委托服务范围内的项目享有管理权及服务义务。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2.根据本合同的规定向甲方收取相关服务费用，并有权在本项目管理范围内管理及合理使用。</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3.及时向甲方通告本项目服务范围内有关服务的重大事项，及时配合处理投诉。</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4.接受项目行业管理部门及政府有关部门的指导，接受甲方的监督。</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sz w:val="24"/>
          <w:szCs w:val="24"/>
          <w:highlight w:val="none"/>
          <w:u w:val="none"/>
          <w:lang w:val="en-US" w:eastAsia="zh-CN"/>
        </w:rPr>
      </w:pPr>
      <w:r>
        <w:rPr>
          <w:rFonts w:hint="eastAsia" w:ascii="仿宋_GB2312" w:hAnsi="仿宋_GB2312" w:eastAsia="仿宋_GB2312" w:cs="仿宋_GB2312"/>
          <w:color w:val="auto"/>
          <w:sz w:val="24"/>
          <w:szCs w:val="24"/>
          <w:highlight w:val="none"/>
          <w:u w:val="none"/>
        </w:rPr>
        <w:t>5.国</w:t>
      </w:r>
      <w:r>
        <w:rPr>
          <w:rFonts w:hint="eastAsia" w:ascii="仿宋_GB2312" w:hAnsi="仿宋_GB2312" w:eastAsia="仿宋_GB2312" w:cs="仿宋_GB2312"/>
          <w:b w:val="0"/>
          <w:bCs/>
          <w:color w:val="auto"/>
          <w:sz w:val="24"/>
          <w:szCs w:val="24"/>
          <w:highlight w:val="none"/>
          <w:u w:val="none"/>
          <w:lang w:val="en-US" w:eastAsia="zh-CN"/>
        </w:rPr>
        <w:t>家法律、法规所规定由乙方承担的其它责任。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sz w:val="24"/>
          <w:szCs w:val="24"/>
          <w:highlight w:val="none"/>
          <w:u w:val="none"/>
          <w:lang w:val="en-US" w:eastAsia="zh-CN"/>
        </w:rPr>
        <w:t>七、知识产权</w:t>
      </w:r>
    </w:p>
    <w:p>
      <w:pPr>
        <w:tabs>
          <w:tab w:val="left" w:pos="1440"/>
        </w:tabs>
        <w:spacing w:line="360" w:lineRule="auto"/>
        <w:ind w:firstLine="480" w:firstLineChars="200"/>
        <w:outlineLvl w:val="9"/>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乙方应保证所提供的服务或其任何一部分均不会侵犯任何第三方的专利权、商标权或著作权。</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sz w:val="24"/>
          <w:szCs w:val="24"/>
          <w:highlight w:val="none"/>
          <w:u w:val="none"/>
          <w:lang w:val="en-US" w:eastAsia="zh-CN"/>
        </w:rPr>
        <w:t>八、无产权瑕疵条款</w:t>
      </w:r>
    </w:p>
    <w:p>
      <w:pPr>
        <w:tabs>
          <w:tab w:val="left" w:pos="1440"/>
        </w:tabs>
        <w:spacing w:line="360" w:lineRule="auto"/>
        <w:ind w:firstLine="480" w:firstLineChars="200"/>
        <w:outlineLvl w:val="9"/>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乙方保证所提供的服务的所有权完全属于乙方且无任何抵押、查封等产权瑕疵。如有产权瑕疵的，视为乙方违约。乙方应负担由此而产生的一切损失。</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九、</w:t>
      </w:r>
      <w:r>
        <w:rPr>
          <w:rFonts w:hint="eastAsia" w:ascii="仿宋_GB2312" w:hAnsi="仿宋_GB2312" w:eastAsia="仿宋_GB2312" w:cs="仿宋_GB2312"/>
          <w:b/>
          <w:color w:val="auto"/>
          <w:sz w:val="24"/>
          <w:szCs w:val="24"/>
          <w:highlight w:val="none"/>
          <w:u w:val="none"/>
          <w:lang w:val="en-US" w:eastAsia="zh-CN"/>
        </w:rPr>
        <w:t>验收</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1、成交供应商对最终的服务质量负完全责任。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2、验收依据：</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（1）合同；</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（2）国家有关的验收标准及规范；</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auto"/>
          <w:kern w:val="2"/>
          <w:sz w:val="24"/>
          <w:szCs w:val="24"/>
          <w:highlight w:val="none"/>
          <w:u w:val="none"/>
          <w:lang w:val="en-US" w:eastAsia="zh-CN" w:bidi="ar-SA"/>
        </w:rPr>
      </w:pPr>
      <w:r>
        <w:rPr>
          <w:rFonts w:hint="eastAsia" w:ascii="仿宋_GB2312" w:hAnsi="仿宋_GB2312" w:eastAsia="仿宋_GB2312" w:cs="仿宋_GB2312"/>
          <w:b w:val="0"/>
          <w:bCs/>
          <w:color w:val="auto"/>
          <w:kern w:val="2"/>
          <w:sz w:val="24"/>
          <w:szCs w:val="24"/>
          <w:highlight w:val="none"/>
          <w:u w:val="none"/>
          <w:lang w:val="en-US" w:eastAsia="zh-CN" w:bidi="ar-SA"/>
        </w:rPr>
        <w:t>（3）竞争性磋商文件、竞争性磋商响应文件。</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w:t>
      </w:r>
      <w:r>
        <w:rPr>
          <w:rFonts w:hint="eastAsia" w:ascii="仿宋_GB2312" w:hAnsi="仿宋_GB2312" w:eastAsia="仿宋_GB2312" w:cs="仿宋_GB2312"/>
          <w:b/>
          <w:color w:val="auto"/>
          <w:sz w:val="24"/>
          <w:szCs w:val="24"/>
          <w:highlight w:val="none"/>
          <w:u w:val="none"/>
          <w:lang w:val="en-US" w:eastAsia="zh-CN"/>
        </w:rPr>
        <w:t>乙方履约延误</w:t>
      </w:r>
    </w:p>
    <w:p>
      <w:pPr>
        <w:numPr>
          <w:ilvl w:val="0"/>
          <w:numId w:val="6"/>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w w:val="95"/>
          <w:sz w:val="24"/>
          <w:szCs w:val="24"/>
          <w:highlight w:val="none"/>
          <w:u w:val="none"/>
        </w:rPr>
      </w:pPr>
      <w:r>
        <w:rPr>
          <w:rFonts w:hint="eastAsia" w:ascii="仿宋_GB2312" w:hAnsi="仿宋_GB2312" w:eastAsia="仿宋_GB2312" w:cs="仿宋_GB2312"/>
          <w:color w:val="auto"/>
          <w:w w:val="95"/>
          <w:sz w:val="24"/>
          <w:szCs w:val="24"/>
          <w:highlight w:val="none"/>
          <w:u w:val="none"/>
        </w:rPr>
        <w:t>如乙方事先未征得甲方同意并得到甲方的谅解而单方面延迟交货,将按违约终止合同｡</w:t>
      </w:r>
    </w:p>
    <w:p>
      <w:pPr>
        <w:numPr>
          <w:ilvl w:val="0"/>
          <w:numId w:val="6"/>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十一、</w:t>
      </w:r>
      <w:r>
        <w:rPr>
          <w:rFonts w:hint="eastAsia" w:ascii="仿宋_GB2312" w:hAnsi="仿宋_GB2312" w:eastAsia="仿宋_GB2312" w:cs="仿宋_GB2312"/>
          <w:b/>
          <w:color w:val="auto"/>
          <w:sz w:val="24"/>
          <w:szCs w:val="24"/>
          <w:highlight w:val="none"/>
          <w:u w:val="none"/>
          <w:lang w:val="en-US" w:eastAsia="zh-CN"/>
        </w:rPr>
        <w:t>违约责任</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w w:val="95"/>
          <w:sz w:val="24"/>
          <w:szCs w:val="24"/>
          <w:highlight w:val="none"/>
          <w:u w:val="none"/>
        </w:rPr>
      </w:pPr>
      <w:r>
        <w:rPr>
          <w:rFonts w:hint="eastAsia" w:ascii="仿宋_GB2312" w:hAnsi="仿宋_GB2312" w:eastAsia="仿宋_GB2312" w:cs="仿宋_GB2312"/>
          <w:color w:val="auto"/>
          <w:w w:val="95"/>
          <w:sz w:val="24"/>
          <w:szCs w:val="24"/>
          <w:highlight w:val="none"/>
          <w:u w:val="none"/>
        </w:rPr>
        <w:t>按《政府采购法》､《</w:t>
      </w:r>
      <w:r>
        <w:rPr>
          <w:rFonts w:hint="eastAsia" w:ascii="仿宋_GB2312" w:hAnsi="仿宋_GB2312" w:eastAsia="仿宋_GB2312" w:cs="仿宋_GB2312"/>
          <w:color w:val="auto"/>
          <w:w w:val="95"/>
          <w:sz w:val="24"/>
          <w:szCs w:val="24"/>
          <w:highlight w:val="none"/>
          <w:u w:val="none"/>
          <w:lang w:val="en-US" w:eastAsia="zh-CN"/>
        </w:rPr>
        <w:t>民法典</w:t>
      </w:r>
      <w:r>
        <w:rPr>
          <w:rFonts w:hint="eastAsia" w:ascii="仿宋_GB2312" w:hAnsi="仿宋_GB2312" w:eastAsia="仿宋_GB2312" w:cs="仿宋_GB2312"/>
          <w:color w:val="auto"/>
          <w:w w:val="95"/>
          <w:sz w:val="24"/>
          <w:szCs w:val="24"/>
          <w:highlight w:val="none"/>
          <w:u w:val="none"/>
        </w:rPr>
        <w:t>》中的相关条款执行｡</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w w:val="95"/>
          <w:sz w:val="24"/>
          <w:szCs w:val="24"/>
          <w:highlight w:val="none"/>
          <w:u w:val="none"/>
        </w:rPr>
      </w:pPr>
      <w:r>
        <w:rPr>
          <w:rFonts w:hint="eastAsia" w:ascii="仿宋_GB2312" w:hAnsi="仿宋_GB2312" w:eastAsia="仿宋_GB2312" w:cs="仿宋_GB2312"/>
          <w:color w:val="auto"/>
          <w:w w:val="95"/>
          <w:sz w:val="24"/>
          <w:szCs w:val="24"/>
          <w:highlight w:val="none"/>
          <w:u w:val="none"/>
        </w:rPr>
        <w:t>未按合同要求提供货物或质量不能满足谈判技术要求,乙方必须无条件更换,提高技术,完善质量,否则,甲方有权终止合同,并对乙方的违约行为报监管机构进行相应的处罚｡</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w w:val="95"/>
          <w:sz w:val="24"/>
          <w:szCs w:val="24"/>
          <w:highlight w:val="none"/>
          <w:u w:val="none"/>
        </w:rPr>
      </w:pPr>
      <w:r>
        <w:rPr>
          <w:rFonts w:hint="eastAsia" w:ascii="仿宋_GB2312" w:hAnsi="仿宋_GB2312" w:eastAsia="仿宋_GB2312" w:cs="仿宋_GB2312"/>
          <w:color w:val="auto"/>
          <w:w w:val="95"/>
          <w:sz w:val="24"/>
          <w:szCs w:val="24"/>
          <w:highlight w:val="none"/>
          <w:u w:val="none"/>
        </w:rPr>
        <w:t>交货期每超过一天,扣除乙方合同总价款的</w:t>
      </w:r>
      <w:r>
        <w:rPr>
          <w:rFonts w:hint="eastAsia" w:ascii="仿宋_GB2312" w:hAnsi="仿宋_GB2312" w:eastAsia="仿宋_GB2312" w:cs="仿宋_GB2312"/>
          <w:color w:val="auto"/>
          <w:w w:val="95"/>
          <w:sz w:val="24"/>
          <w:szCs w:val="24"/>
          <w:highlight w:val="none"/>
          <w:u w:val="none"/>
          <w:lang w:val="en-US" w:eastAsia="zh-CN"/>
        </w:rPr>
        <w:t>10</w:t>
      </w:r>
      <w:r>
        <w:rPr>
          <w:rFonts w:hint="eastAsia" w:ascii="仿宋_GB2312" w:hAnsi="仿宋_GB2312" w:eastAsia="仿宋_GB2312" w:cs="仿宋_GB2312"/>
          <w:color w:val="auto"/>
          <w:w w:val="95"/>
          <w:sz w:val="24"/>
          <w:szCs w:val="24"/>
          <w:highlight w:val="none"/>
          <w:u w:val="none"/>
        </w:rPr>
        <w:t>‰｡</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w w:val="95"/>
          <w:sz w:val="24"/>
          <w:szCs w:val="24"/>
          <w:highlight w:val="none"/>
          <w:u w:val="none"/>
        </w:rPr>
      </w:pPr>
      <w:r>
        <w:rPr>
          <w:rFonts w:hint="eastAsia" w:ascii="仿宋_GB2312" w:hAnsi="仿宋_GB2312" w:eastAsia="仿宋_GB2312" w:cs="仿宋_GB2312"/>
          <w:color w:val="auto"/>
          <w:w w:val="95"/>
          <w:sz w:val="24"/>
          <w:szCs w:val="24"/>
          <w:highlight w:val="none"/>
          <w:u w:val="none"/>
        </w:rPr>
        <w:t>在乙方违约的情况下,甲方报告西安市政府采购管理处后,有权终止合同,并依法向乙方进行索赔｡</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十二、</w:t>
      </w:r>
      <w:r>
        <w:rPr>
          <w:rFonts w:hint="eastAsia" w:ascii="仿宋_GB2312" w:hAnsi="仿宋_GB2312" w:eastAsia="仿宋_GB2312" w:cs="仿宋_GB2312"/>
          <w:b/>
          <w:color w:val="auto"/>
          <w:sz w:val="24"/>
          <w:szCs w:val="24"/>
          <w:highlight w:val="none"/>
          <w:u w:val="none"/>
          <w:lang w:val="en-US" w:eastAsia="zh-CN"/>
        </w:rPr>
        <w:t>合同争议解决的方式</w:t>
      </w:r>
    </w:p>
    <w:p>
      <w:pPr>
        <w:shd w:val="clear"/>
        <w:tabs>
          <w:tab w:val="left" w:pos="480"/>
        </w:tabs>
        <w:snapToGrid w:val="0"/>
        <w:spacing w:line="360" w:lineRule="auto"/>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本合同在履行过程中发生的争议,由甲､乙双方当事人协商解决,协商不成的按下列第二种方式解决:</w:t>
      </w:r>
    </w:p>
    <w:p>
      <w:pPr>
        <w:numPr>
          <w:ilvl w:val="0"/>
          <w:numId w:val="0"/>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highlight w:val="none"/>
          <w:u w:val="none"/>
        </w:rPr>
        <w:t>提交</w:t>
      </w:r>
      <w:r>
        <w:rPr>
          <w:rFonts w:hint="eastAsia" w:ascii="仿宋_GB2312" w:hAnsi="仿宋_GB2312" w:eastAsia="仿宋_GB2312" w:cs="仿宋_GB2312"/>
          <w:color w:val="auto"/>
          <w:sz w:val="24"/>
          <w:szCs w:val="24"/>
          <w:highlight w:val="none"/>
          <w:u w:val="none"/>
        </w:rPr>
        <w:softHyphen/>
      </w:r>
      <w:r>
        <w:rPr>
          <w:rFonts w:hint="eastAsia" w:ascii="仿宋_GB2312" w:hAnsi="仿宋_GB2312" w:eastAsia="仿宋_GB2312" w:cs="仿宋_GB2312"/>
          <w:color w:val="auto"/>
          <w:sz w:val="24"/>
          <w:szCs w:val="24"/>
          <w:highlight w:val="none"/>
          <w:u w:val="none"/>
        </w:rPr>
        <w:softHyphen/>
      </w:r>
      <w:r>
        <w:rPr>
          <w:rFonts w:hint="eastAsia" w:ascii="仿宋_GB2312" w:hAnsi="仿宋_GB2312" w:eastAsia="仿宋_GB2312" w:cs="仿宋_GB2312"/>
          <w:color w:val="auto"/>
          <w:sz w:val="24"/>
          <w:szCs w:val="24"/>
          <w:highlight w:val="none"/>
          <w:u w:val="none"/>
        </w:rPr>
        <w:softHyphen/>
      </w:r>
      <w:r>
        <w:rPr>
          <w:rFonts w:hint="eastAsia" w:ascii="仿宋_GB2312" w:hAnsi="仿宋_GB2312" w:eastAsia="仿宋_GB2312" w:cs="仿宋_GB2312"/>
          <w:color w:val="auto"/>
          <w:sz w:val="24"/>
          <w:szCs w:val="24"/>
          <w:highlight w:val="none"/>
          <w:u w:val="none"/>
        </w:rPr>
        <w:t>西安仲裁委员会仲裁;</w:t>
      </w:r>
    </w:p>
    <w:p>
      <w:pPr>
        <w:numPr>
          <w:ilvl w:val="0"/>
          <w:numId w:val="0"/>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highlight w:val="none"/>
          <w:u w:val="none"/>
        </w:rPr>
        <w:t>依法向甲方所在地人民法院起诉｡</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十三、</w:t>
      </w:r>
      <w:r>
        <w:rPr>
          <w:rFonts w:hint="eastAsia" w:ascii="仿宋_GB2312" w:hAnsi="仿宋_GB2312" w:eastAsia="仿宋_GB2312" w:cs="仿宋_GB2312"/>
          <w:b/>
          <w:color w:val="auto"/>
          <w:sz w:val="24"/>
          <w:szCs w:val="24"/>
          <w:highlight w:val="none"/>
          <w:u w:val="none"/>
          <w:lang w:val="en-US" w:eastAsia="zh-CN"/>
        </w:rPr>
        <w:t>合同生效</w:t>
      </w:r>
    </w:p>
    <w:p>
      <w:pPr>
        <w:shd w:val="clear"/>
        <w:snapToGrid w:val="0"/>
        <w:spacing w:line="360" w:lineRule="auto"/>
        <w:ind w:firstLine="470" w:firstLineChars="196"/>
        <w:rPr>
          <w:rFonts w:hint="eastAsia" w:ascii="仿宋_GB2312" w:hAnsi="仿宋_GB2312" w:eastAsia="仿宋_GB2312" w:cs="仿宋_GB2312"/>
          <w:b w:val="0"/>
          <w:bCs/>
          <w:color w:val="auto"/>
          <w:sz w:val="24"/>
          <w:szCs w:val="24"/>
          <w:highlight w:val="none"/>
          <w:u w:val="none"/>
        </w:rPr>
      </w:pPr>
      <w:r>
        <w:rPr>
          <w:rFonts w:hint="eastAsia" w:ascii="仿宋_GB2312" w:hAnsi="仿宋_GB2312" w:eastAsia="仿宋_GB2312" w:cs="仿宋_GB2312"/>
          <w:b w:val="0"/>
          <w:bCs/>
          <w:color w:val="auto"/>
          <w:sz w:val="24"/>
          <w:szCs w:val="24"/>
          <w:highlight w:val="none"/>
          <w:u w:val="none"/>
        </w:rPr>
        <w:t>本合同一式</w:t>
      </w:r>
      <w:r>
        <w:rPr>
          <w:rFonts w:hint="eastAsia" w:ascii="仿宋_GB2312" w:hAnsi="仿宋_GB2312" w:eastAsia="仿宋_GB2312" w:cs="仿宋_GB2312"/>
          <w:b/>
          <w:bCs w:val="0"/>
          <w:color w:val="auto"/>
          <w:sz w:val="24"/>
          <w:szCs w:val="24"/>
          <w:highlight w:val="none"/>
          <w:u w:val="single"/>
        </w:rPr>
        <w:t xml:space="preserve"> </w:t>
      </w:r>
      <w:r>
        <w:rPr>
          <w:rFonts w:hint="eastAsia" w:ascii="仿宋_GB2312" w:hAnsi="仿宋_GB2312" w:eastAsia="仿宋_GB2312" w:cs="仿宋_GB2312"/>
          <w:b/>
          <w:bCs w:val="0"/>
          <w:color w:val="auto"/>
          <w:sz w:val="24"/>
          <w:szCs w:val="24"/>
          <w:highlight w:val="none"/>
          <w:u w:val="single"/>
          <w:lang w:val="en-US" w:eastAsia="zh-CN"/>
        </w:rPr>
        <w:t xml:space="preserve">  </w:t>
      </w:r>
      <w:r>
        <w:rPr>
          <w:rFonts w:hint="eastAsia" w:ascii="仿宋_GB2312" w:hAnsi="仿宋_GB2312" w:eastAsia="仿宋_GB2312" w:cs="仿宋_GB2312"/>
          <w:b/>
          <w:bCs w:val="0"/>
          <w:color w:val="auto"/>
          <w:sz w:val="24"/>
          <w:szCs w:val="24"/>
          <w:highlight w:val="none"/>
          <w:u w:val="single"/>
        </w:rPr>
        <w:t xml:space="preserve"> </w:t>
      </w:r>
      <w:r>
        <w:rPr>
          <w:rFonts w:hint="eastAsia" w:ascii="仿宋_GB2312" w:hAnsi="仿宋_GB2312" w:eastAsia="仿宋_GB2312" w:cs="仿宋_GB2312"/>
          <w:b w:val="0"/>
          <w:bCs/>
          <w:color w:val="auto"/>
          <w:sz w:val="24"/>
          <w:szCs w:val="24"/>
          <w:highlight w:val="none"/>
          <w:u w:val="none"/>
        </w:rPr>
        <w:t>份,甲方</w:t>
      </w:r>
      <w:r>
        <w:rPr>
          <w:rFonts w:hint="eastAsia" w:ascii="仿宋_GB2312" w:hAnsi="仿宋_GB2312" w:eastAsia="仿宋_GB2312" w:cs="仿宋_GB2312"/>
          <w:b w:val="0"/>
          <w:bCs/>
          <w:color w:val="auto"/>
          <w:sz w:val="24"/>
          <w:szCs w:val="24"/>
          <w:highlight w:val="none"/>
          <w:u w:val="single"/>
        </w:rPr>
        <w:t xml:space="preserve"> </w:t>
      </w:r>
      <w:r>
        <w:rPr>
          <w:rFonts w:hint="eastAsia" w:ascii="仿宋_GB2312" w:hAnsi="仿宋_GB2312" w:eastAsia="仿宋_GB2312" w:cs="仿宋_GB2312"/>
          <w:b/>
          <w:bCs w:val="0"/>
          <w:color w:val="auto"/>
          <w:sz w:val="24"/>
          <w:szCs w:val="24"/>
          <w:highlight w:val="none"/>
          <w:u w:val="single"/>
          <w:lang w:val="en-US" w:eastAsia="zh-CN"/>
        </w:rPr>
        <w:t xml:space="preserve">   </w:t>
      </w:r>
      <w:r>
        <w:rPr>
          <w:rFonts w:hint="eastAsia" w:ascii="仿宋_GB2312" w:hAnsi="仿宋_GB2312" w:eastAsia="仿宋_GB2312" w:cs="仿宋_GB2312"/>
          <w:b w:val="0"/>
          <w:bCs/>
          <w:color w:val="auto"/>
          <w:sz w:val="24"/>
          <w:szCs w:val="24"/>
          <w:highlight w:val="none"/>
          <w:u w:val="none"/>
        </w:rPr>
        <w:t>份､乙方</w:t>
      </w:r>
      <w:r>
        <w:rPr>
          <w:rFonts w:hint="eastAsia" w:ascii="仿宋_GB2312" w:hAnsi="仿宋_GB2312" w:eastAsia="仿宋_GB2312" w:cs="仿宋_GB2312"/>
          <w:b/>
          <w:bCs w:val="0"/>
          <w:color w:val="auto"/>
          <w:sz w:val="24"/>
          <w:szCs w:val="24"/>
          <w:highlight w:val="none"/>
          <w:u w:val="single"/>
          <w:lang w:val="en-US" w:eastAsia="zh-CN"/>
        </w:rPr>
        <w:t xml:space="preserve">    </w:t>
      </w:r>
      <w:r>
        <w:rPr>
          <w:rFonts w:hint="eastAsia" w:ascii="仿宋_GB2312" w:hAnsi="仿宋_GB2312" w:eastAsia="仿宋_GB2312" w:cs="仿宋_GB2312"/>
          <w:b w:val="0"/>
          <w:bCs/>
          <w:color w:val="auto"/>
          <w:sz w:val="24"/>
          <w:szCs w:val="24"/>
          <w:highlight w:val="none"/>
          <w:u w:val="none"/>
        </w:rPr>
        <w:t>份,本合同甲､乙</w:t>
      </w:r>
      <w:r>
        <w:rPr>
          <w:rFonts w:hint="eastAsia" w:ascii="仿宋_GB2312" w:hAnsi="仿宋_GB2312" w:eastAsia="仿宋_GB2312" w:cs="仿宋_GB2312"/>
          <w:b w:val="0"/>
          <w:bCs/>
          <w:color w:val="auto"/>
          <w:sz w:val="24"/>
          <w:szCs w:val="24"/>
          <w:highlight w:val="none"/>
          <w:u w:val="none"/>
          <w:lang w:eastAsia="zh-CN"/>
        </w:rPr>
        <w:t>双</w:t>
      </w:r>
      <w:r>
        <w:rPr>
          <w:rFonts w:hint="eastAsia" w:ascii="仿宋_GB2312" w:hAnsi="仿宋_GB2312" w:eastAsia="仿宋_GB2312" w:cs="仿宋_GB2312"/>
          <w:b w:val="0"/>
          <w:bCs/>
          <w:color w:val="auto"/>
          <w:sz w:val="24"/>
          <w:szCs w:val="24"/>
          <w:highlight w:val="none"/>
          <w:u w:val="none"/>
        </w:rPr>
        <w:t>方签字盖章后生效,合同执行完毕后,自动失效(合同的服务承诺则长期有效)｡</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十四、</w:t>
      </w:r>
      <w:r>
        <w:rPr>
          <w:rFonts w:hint="eastAsia" w:ascii="仿宋_GB2312" w:hAnsi="仿宋_GB2312" w:eastAsia="仿宋_GB2312" w:cs="仿宋_GB2312"/>
          <w:b/>
          <w:color w:val="auto"/>
          <w:sz w:val="24"/>
          <w:szCs w:val="24"/>
          <w:highlight w:val="none"/>
          <w:u w:val="none"/>
          <w:lang w:val="en-US" w:eastAsia="zh-CN"/>
        </w:rPr>
        <w:t>其他事项</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val="en-US" w:eastAsia="zh-CN"/>
        </w:rPr>
        <w:t>西安市</w:t>
      </w:r>
      <w:r>
        <w:rPr>
          <w:rFonts w:hint="eastAsia" w:ascii="仿宋_GB2312" w:hAnsi="仿宋_GB2312" w:eastAsia="仿宋_GB2312" w:cs="仿宋_GB2312"/>
          <w:color w:val="auto"/>
          <w:sz w:val="24"/>
          <w:szCs w:val="24"/>
          <w:highlight w:val="none"/>
          <w:u w:val="none"/>
        </w:rPr>
        <w:t>财政局</w:t>
      </w:r>
      <w:r>
        <w:rPr>
          <w:rFonts w:hint="eastAsia" w:ascii="仿宋_GB2312" w:hAnsi="仿宋_GB2312" w:eastAsia="仿宋_GB2312" w:cs="仿宋_GB2312"/>
          <w:color w:val="auto"/>
          <w:sz w:val="24"/>
          <w:szCs w:val="24"/>
          <w:highlight w:val="none"/>
          <w:u w:val="none"/>
          <w:lang w:val="en-US" w:eastAsia="zh-CN"/>
        </w:rPr>
        <w:t>雁塔分局</w:t>
      </w:r>
      <w:r>
        <w:rPr>
          <w:rFonts w:hint="eastAsia" w:ascii="仿宋_GB2312" w:hAnsi="仿宋_GB2312" w:eastAsia="仿宋_GB2312" w:cs="仿宋_GB2312"/>
          <w:color w:val="auto"/>
          <w:sz w:val="24"/>
          <w:szCs w:val="24"/>
          <w:highlight w:val="none"/>
          <w:u w:val="none"/>
        </w:rPr>
        <w:t>政府采购管理处在合同的履行期间以及履行期后,可以随时检查项目的执行情况,对采购内容､标准进行调查核实,并对发现的问题进行处理｡</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eastAsia="zh-CN"/>
        </w:rPr>
        <w:t>竞争性磋商文件</w:t>
      </w:r>
      <w:r>
        <w:rPr>
          <w:rFonts w:hint="eastAsia" w:ascii="仿宋_GB2312" w:hAnsi="仿宋_GB2312" w:eastAsia="仿宋_GB2312" w:cs="仿宋_GB2312"/>
          <w:color w:val="auto"/>
          <w:sz w:val="24"/>
          <w:szCs w:val="24"/>
          <w:highlight w:val="none"/>
          <w:u w:val="none"/>
        </w:rPr>
        <w:t>､竞争性磋商响应文件､中标通知书､合同附件均成为合同不可分割的部分｡</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合同未尽事宜,由甲､乙双方协商,作为合同补充,与原合同具有同等法律效力｡</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合同一经签订,不得擅自变更､中止或终止合同｡对确需变更､调整或中止､终止合同的,应按规定履行相应的手续｡</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本合同按照中华人民共和国的现行法律进行解释｡</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十五、</w:t>
      </w:r>
      <w:r>
        <w:rPr>
          <w:rFonts w:hint="eastAsia" w:ascii="仿宋_GB2312" w:hAnsi="仿宋_GB2312" w:eastAsia="仿宋_GB2312" w:cs="仿宋_GB2312"/>
          <w:b/>
          <w:color w:val="auto"/>
          <w:sz w:val="24"/>
          <w:szCs w:val="24"/>
          <w:highlight w:val="none"/>
          <w:u w:val="none"/>
          <w:lang w:val="en-US" w:eastAsia="zh-CN"/>
        </w:rPr>
        <w:t>不可抗力</w:t>
      </w:r>
    </w:p>
    <w:p>
      <w:pPr>
        <w:shd w:val="clear"/>
        <w:snapToGrid w:val="0"/>
        <w:spacing w:line="360" w:lineRule="auto"/>
        <w:ind w:firstLine="470" w:firstLineChars="196"/>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十六、</w:t>
      </w:r>
      <w:r>
        <w:rPr>
          <w:rFonts w:hint="eastAsia" w:ascii="仿宋_GB2312" w:hAnsi="仿宋_GB2312" w:eastAsia="仿宋_GB2312" w:cs="仿宋_GB2312"/>
          <w:b/>
          <w:color w:val="auto"/>
          <w:sz w:val="24"/>
          <w:szCs w:val="24"/>
          <w:highlight w:val="none"/>
          <w:u w:val="none"/>
          <w:lang w:val="en-US" w:eastAsia="zh-CN"/>
        </w:rPr>
        <w:t>监督和管理</w:t>
      </w:r>
    </w:p>
    <w:p>
      <w:pPr>
        <w:numPr>
          <w:ilvl w:val="0"/>
          <w:numId w:val="9"/>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合同订立后,双方协商一致需变更合同实质性条款或订立补充合同的,应先征得政府采购监督部门同意并送其备案｡</w:t>
      </w:r>
    </w:p>
    <w:p>
      <w:pPr>
        <w:numPr>
          <w:ilvl w:val="0"/>
          <w:numId w:val="9"/>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甲乙双方均应自觉配合有关监督管理部门对合同履行情况监督检查,如实反映情况,提供有关资料,否则将对有关单位､当事人按有关规定予以处罚｡</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auto"/>
          <w:sz w:val="24"/>
          <w:szCs w:val="24"/>
          <w:highlight w:val="none"/>
          <w:u w:val="none"/>
          <w:lang w:val="en-US" w:eastAsia="zh-CN"/>
        </w:rPr>
      </w:pPr>
      <w:r>
        <w:rPr>
          <w:rFonts w:hint="eastAsia" w:ascii="仿宋_GB2312" w:hAnsi="仿宋_GB2312" w:eastAsia="仿宋_GB2312" w:cs="仿宋_GB2312"/>
          <w:b/>
          <w:color w:val="auto"/>
          <w:kern w:val="2"/>
          <w:sz w:val="24"/>
          <w:szCs w:val="24"/>
          <w:lang w:val="en-US" w:eastAsia="zh-CN" w:bidi="ar-SA"/>
        </w:rPr>
        <w:t>十七、</w:t>
      </w:r>
      <w:r>
        <w:rPr>
          <w:rFonts w:hint="eastAsia" w:ascii="仿宋_GB2312" w:hAnsi="仿宋_GB2312" w:eastAsia="仿宋_GB2312" w:cs="仿宋_GB2312"/>
          <w:b/>
          <w:color w:val="auto"/>
          <w:sz w:val="24"/>
          <w:szCs w:val="24"/>
          <w:highlight w:val="none"/>
          <w:u w:val="none"/>
          <w:lang w:val="en-US" w:eastAsia="zh-CN"/>
        </w:rPr>
        <w:t>无效合同</w:t>
      </w:r>
    </w:p>
    <w:p>
      <w:pPr>
        <w:shd w:val="clear"/>
        <w:snapToGrid w:val="0"/>
        <w:spacing w:line="360" w:lineRule="auto"/>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甲乙双方如因违反政府采购法力相关法律法规的规定,被宣告合同无效的一切责任概由过错方自行承担｡</w:t>
      </w:r>
    </w:p>
    <w:p>
      <w:pPr>
        <w:pStyle w:val="2"/>
        <w:shd w:val="clear"/>
        <w:rPr>
          <w:rFonts w:hint="eastAsia" w:ascii="仿宋_GB2312" w:hAnsi="仿宋_GB2312" w:eastAsia="仿宋_GB2312" w:cs="仿宋_GB2312"/>
          <w:color w:val="auto"/>
          <w:u w:val="none"/>
          <w:lang w:eastAsia="zh-CN"/>
        </w:rPr>
      </w:pPr>
    </w:p>
    <w:p>
      <w:pPr>
        <w:pStyle w:val="4"/>
        <w:shd w:val="clear"/>
        <w:rPr>
          <w:rFonts w:hint="eastAsia" w:ascii="仿宋_GB2312" w:hAnsi="仿宋_GB2312" w:eastAsia="仿宋_GB2312" w:cs="仿宋_GB2312"/>
          <w:color w:val="auto"/>
          <w:sz w:val="24"/>
          <w:szCs w:val="24"/>
          <w:highlight w:val="none"/>
          <w:u w:val="none"/>
        </w:rPr>
      </w:pPr>
    </w:p>
    <w:p>
      <w:pPr>
        <w:shd w:val="clear"/>
        <w:tabs>
          <w:tab w:val="left" w:pos="480"/>
        </w:tabs>
        <w:snapToGrid w:val="0"/>
        <w:spacing w:line="360" w:lineRule="auto"/>
        <w:ind w:left="-199" w:leftChars="-95" w:firstLine="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 xml:space="preserve">甲  方(法人公章)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乙  方(法人公章)</w:t>
      </w:r>
    </w:p>
    <w:p>
      <w:pPr>
        <w:shd w:val="clear"/>
        <w:tabs>
          <w:tab w:val="left" w:pos="480"/>
        </w:tabs>
        <w:snapToGrid w:val="0"/>
        <w:spacing w:line="360" w:lineRule="auto"/>
        <w:ind w:left="-199" w:leftChars="-95" w:firstLine="0" w:firstLineChars="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单位名称:</w:t>
      </w:r>
      <w:r>
        <w:rPr>
          <w:rFonts w:hint="eastAsia" w:ascii="仿宋_GB2312" w:hAnsi="仿宋_GB2312" w:eastAsia="仿宋_GB2312" w:cs="仿宋_GB2312"/>
          <w:color w:val="auto"/>
          <w:sz w:val="24"/>
          <w:szCs w:val="24"/>
          <w:highlight w:val="none"/>
          <w:u w:val="none"/>
          <w:lang w:eastAsia="zh-CN"/>
        </w:rPr>
        <w:t xml:space="preserve"> </w:t>
      </w:r>
      <w:r>
        <w:rPr>
          <w:rFonts w:hint="eastAsia" w:ascii="仿宋_GB2312" w:hAnsi="仿宋_GB2312" w:eastAsia="仿宋_GB2312" w:cs="仿宋_GB2312"/>
          <w:color w:val="auto"/>
          <w:sz w:val="24"/>
          <w:szCs w:val="24"/>
          <w:highlight w:val="none"/>
          <w:u w:val="none"/>
        </w:rPr>
        <w:t xml:space="preserve">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单位名称:</w:t>
      </w:r>
    </w:p>
    <w:p>
      <w:pPr>
        <w:shd w:val="clear"/>
        <w:tabs>
          <w:tab w:val="left" w:pos="480"/>
        </w:tabs>
        <w:snapToGrid w:val="0"/>
        <w:spacing w:line="360" w:lineRule="auto"/>
        <w:ind w:left="5460" w:leftChars="-95" w:hanging="5659" w:hangingChars="2358"/>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 xml:space="preserve">地  址: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地  址:</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 xml:space="preserve">法定代表人签字: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  法定代表人签字:</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 xml:space="preserve">代理人签字: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 代理人签字:</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val="en-US" w:eastAsia="zh-CN"/>
        </w:rPr>
        <w:t>项目主管部门负责人</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 联系电话:</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val="en-US" w:eastAsia="zh-CN"/>
        </w:rPr>
        <w:t>招采办负责人:</w:t>
      </w:r>
      <w:r>
        <w:rPr>
          <w:rFonts w:hint="eastAsia" w:ascii="仿宋_GB2312" w:hAnsi="仿宋_GB2312" w:eastAsia="仿宋_GB2312" w:cs="仿宋_GB2312"/>
          <w:color w:val="auto"/>
          <w:sz w:val="24"/>
          <w:szCs w:val="24"/>
          <w:highlight w:val="none"/>
          <w:u w:val="none"/>
        </w:rPr>
        <w:t xml:space="preserve">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开户银行:</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 xml:space="preserve">联系电话: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帐  号:                                    </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签订日期:</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年   月   日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签订日期:</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年   月   日</w:t>
      </w:r>
    </w:p>
    <w:bookmarkEnd w:id="0"/>
    <w:p>
      <w:pPr>
        <w:pStyle w:val="10"/>
        <w:rPr>
          <w:rFonts w:hint="eastAsia" w:ascii="仿宋_GB2312" w:hAnsi="仿宋_GB2312" w:eastAsia="仿宋_GB2312" w:cs="仿宋_GB2312"/>
          <w:color w:val="auto"/>
          <w:lang w:val="en-US" w:eastAsia="zh-Hans"/>
        </w:rPr>
      </w:pPr>
    </w:p>
    <w:p>
      <w:bookmarkStart w:id="2" w:name="_GoBack"/>
      <w:bookmarkEnd w:id="2"/>
    </w:p>
    <w:sectPr>
      <w:footerReference r:id="rId3" w:type="default"/>
      <w:pgSz w:w="11906" w:h="16838"/>
      <w:pgMar w:top="1440" w:right="1486"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3">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4">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5">
    <w:nsid w:val="172A8D9C"/>
    <w:multiLevelType w:val="singleLevel"/>
    <w:tmpl w:val="172A8D9C"/>
    <w:lvl w:ilvl="0" w:tentative="0">
      <w:start w:val="1"/>
      <w:numFmt w:val="chineseCounting"/>
      <w:suff w:val="nothing"/>
      <w:lvlText w:val="（%1）"/>
      <w:lvlJc w:val="left"/>
      <w:pPr>
        <w:ind w:left="0" w:firstLine="420"/>
      </w:pPr>
      <w:rPr>
        <w:rFonts w:hint="eastAsia"/>
      </w:rPr>
    </w:lvl>
  </w:abstractNum>
  <w:abstractNum w:abstractNumId="6">
    <w:nsid w:val="21E346A0"/>
    <w:multiLevelType w:val="singleLevel"/>
    <w:tmpl w:val="21E346A0"/>
    <w:lvl w:ilvl="0" w:tentative="0">
      <w:start w:val="1"/>
      <w:numFmt w:val="chineseCounting"/>
      <w:suff w:val="nothing"/>
      <w:lvlText w:val="（%1）"/>
      <w:lvlJc w:val="left"/>
      <w:pPr>
        <w:ind w:left="0" w:firstLine="420"/>
      </w:pPr>
      <w:rPr>
        <w:rFonts w:hint="eastAsia"/>
      </w:rPr>
    </w:lvl>
  </w:abstractNum>
  <w:abstractNum w:abstractNumId="7">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8">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4"/>
  </w:num>
  <w:num w:numId="4">
    <w:abstractNumId w:val="8"/>
  </w:num>
  <w:num w:numId="5">
    <w:abstractNumId w:val="7"/>
  </w:num>
  <w:num w:numId="6">
    <w:abstractNumId w:val="6"/>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70C00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列出段落1"/>
    <w:basedOn w:val="1"/>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2026-06-22T11:40:43Z</dcterms:created>
  <dc:creator>陆文科</dc:creator>
  <cp:lastModifiedBy>1</cp:lastModifiedBy>
  <dcterms:modified xsi:type="dcterms:W3CDTF">2026-06-22T11:40:58Z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2D5410FD2C8540B6AE8B7E8EFE7FFE1B_12</vt:lpwstr>
  </property>
</Properties>
</file>