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版本号：ZX2026-06-9720260722001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珍贵艺术资源活化与公共艺术空间构建项目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ZX2026-06-97</w:t>
      </w:r>
      <w:r>
        <w:br/>
      </w:r>
      <w:r>
        <w:br/>
      </w:r>
      <w:r>
        <w:br/>
      </w:r>
    </w:p>
    <w:p>
      <w:pPr>
        <w:pStyle w:val="null3"/>
        <w:jc w:val="center"/>
        <w:outlineLvl w:val="2"/>
      </w:pPr>
      <w:r>
        <w:rPr>
          <w:rFonts w:ascii="仿宋_GB2312" w:hAnsi="仿宋_GB2312" w:cs="仿宋_GB2312" w:eastAsia="仿宋_GB2312"/>
          <w:sz w:val="28"/>
          <w:b/>
        </w:rPr>
        <w:t>陕西省艺术研究院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陕西省艺术研究院</w:t>
      </w:r>
      <w:r>
        <w:rPr>
          <w:rFonts w:ascii="仿宋_GB2312" w:hAnsi="仿宋_GB2312" w:cs="仿宋_GB2312" w:eastAsia="仿宋_GB2312"/>
        </w:rPr>
        <w:t>委托，拟对</w:t>
      </w:r>
      <w:r>
        <w:rPr>
          <w:rFonts w:ascii="仿宋_GB2312" w:hAnsi="仿宋_GB2312" w:cs="仿宋_GB2312" w:eastAsia="仿宋_GB2312"/>
        </w:rPr>
        <w:t>珍贵艺术资源活化与公共艺术空间构建项目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ZX2026-06-97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珍贵艺术资源活化与公共艺术空间构建项目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本项目为珍贵艺术资源活化与公共艺术空间构建项目，1项，具体详见磋商文件第三章。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3、供应商资质：提供供应商建筑工程施工总承包三级及以上或建筑装修装饰工程专业承包二级及以上资质，以及有效期内的安全生产许可证</w:t>
      </w:r>
    </w:p>
    <w:p>
      <w:pPr>
        <w:pStyle w:val="null3"/>
      </w:pPr>
      <w:r>
        <w:rPr>
          <w:rFonts w:ascii="仿宋_GB2312" w:hAnsi="仿宋_GB2312" w:cs="仿宋_GB2312" w:eastAsia="仿宋_GB2312"/>
        </w:rPr>
        <w:t>4、项目经理资质：提供拟派项目经理有效的机电工程专业注册建造师二级（含二级）以上或建筑工程专业注册建造师二级（含二级）以上执业资格及安全生产考核合格证书（安全B证），在本单位注册且无在建工程（提供无在建工程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陕西省艺术研究院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西安市龙首北路西段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029-86277132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崔文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冷暖设备、移动控制终端</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采购包1保证金金额：17,697.00元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 号)和(发改办价格[2003]857 号)文件，按标准计费；不足陆仟元按照陆仟元整收取。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陕西省艺术研究院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陕西省艺术研究院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陕西省艺术研究院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根据磋商文件、响应文件及合同约定执行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祁鑫</w:t>
      </w:r>
    </w:p>
    <w:p>
      <w:pPr>
        <w:pStyle w:val="null3"/>
      </w:pPr>
      <w:r>
        <w:rPr>
          <w:rFonts w:ascii="仿宋_GB2312" w:hAnsi="仿宋_GB2312" w:cs="仿宋_GB2312" w:eastAsia="仿宋_GB2312"/>
        </w:rPr>
        <w:t>联系电话：邮箱：438904813@qq.com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珍贵艺术资源活化与公共艺术空间构建项目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标的名称：珍贵艺术资源活化与公共艺术空间构建项目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r>
              <w:rPr>
                <w:rFonts w:ascii="仿宋_GB2312" w:hAnsi="仿宋_GB2312" w:cs="仿宋_GB2312" w:eastAsia="仿宋_GB2312"/>
                <w:sz w:val="24"/>
                <w:b/>
              </w:rPr>
              <w:t>及范围</w:t>
            </w:r>
          </w:p>
          <w:p>
            <w:pPr>
              <w:pStyle w:val="null3"/>
              <w:ind w:firstLine="480"/>
              <w:jc w:val="both"/>
            </w:pPr>
            <w:r>
              <w:rPr>
                <w:rFonts w:ascii="仿宋_GB2312" w:hAnsi="仿宋_GB2312" w:cs="仿宋_GB2312" w:eastAsia="仿宋_GB2312"/>
                <w:sz w:val="24"/>
              </w:rPr>
              <w:t>陕西省艺术研究院珍贵艺术资源活化与公共艺术空间构建项目。以科技赋能传统、活化优秀文化为核心，融合数字采集、智能交互、沉浸式展陈等现代技术手段，构建兼顾专家研究与大众科普双重需求的综合性公共艺术空间，打造集珍贵文化展示、互动体验、研学实践于一体的特色文化场景。场地满足安装施工需求。</w:t>
            </w:r>
          </w:p>
          <w:p>
            <w:pPr>
              <w:pStyle w:val="null3"/>
              <w:ind w:firstLine="480"/>
            </w:pPr>
            <w:r>
              <w:rPr>
                <w:rFonts w:ascii="仿宋_GB2312" w:hAnsi="仿宋_GB2312" w:cs="仿宋_GB2312" w:eastAsia="仿宋_GB2312"/>
                <w:sz w:val="24"/>
                <w:b/>
              </w:rPr>
              <w:t>二、项目内容</w:t>
            </w:r>
          </w:p>
          <w:p>
            <w:pPr>
              <w:pStyle w:val="null3"/>
              <w:ind w:firstLine="480"/>
              <w:jc w:val="both"/>
            </w:pPr>
            <w:r>
              <w:rPr>
                <w:rFonts w:ascii="仿宋_GB2312" w:hAnsi="仿宋_GB2312" w:cs="仿宋_GB2312" w:eastAsia="仿宋_GB2312"/>
                <w:sz w:val="24"/>
              </w:rPr>
              <w:t>项目涵盖一楼展厅珍贵艺术资源数字化布展与空间工程改造，同步配套改造楼上四间功能用房，所有空间均纳入项目统一规划与建设</w:t>
            </w:r>
            <w:r>
              <w:rPr>
                <w:rFonts w:ascii="仿宋_GB2312" w:hAnsi="仿宋_GB2312" w:cs="仿宋_GB2312" w:eastAsia="仿宋_GB2312"/>
                <w:sz w:val="24"/>
              </w:rPr>
              <w:t>。</w:t>
            </w:r>
            <w:r>
              <w:rPr>
                <w:rFonts w:ascii="仿宋_GB2312" w:hAnsi="仿宋_GB2312" w:cs="仿宋_GB2312" w:eastAsia="仿宋_GB2312"/>
                <w:sz w:val="24"/>
              </w:rPr>
              <w:t>本次项目内容完成场地设计方案、基础装修改造、室内展陈布置等内容，需有布展空间基础设施、媒体及声光电设备、空调通风设施、电子设备、数字线上服务系统</w:t>
            </w:r>
            <w:r>
              <w:rPr>
                <w:rFonts w:ascii="仿宋_GB2312" w:hAnsi="仿宋_GB2312" w:cs="仿宋_GB2312" w:eastAsia="仿宋_GB2312"/>
                <w:sz w:val="24"/>
              </w:rPr>
              <w:t>以及与项目配套的宣传服务</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rPr>
              <w:t>（一）详细清单如下</w:t>
            </w:r>
          </w:p>
          <w:tbl>
            <w:tblPr>
              <w:tblBorders>
                <w:top w:val="none" w:color="000000" w:sz="4"/>
                <w:left w:val="none" w:color="000000" w:sz="4"/>
                <w:bottom w:val="none" w:color="000000" w:sz="4"/>
                <w:right w:val="none" w:color="000000" w:sz="4"/>
                <w:insideH w:val="none"/>
                <w:insideV w:val="none"/>
              </w:tblBorders>
            </w:tblPr>
            <w:tblGrid>
              <w:gridCol w:w="144"/>
              <w:gridCol w:w="298"/>
              <w:gridCol w:w="1653"/>
              <w:gridCol w:w="258"/>
              <w:gridCol w:w="188"/>
            </w:tblGrid>
            <w:tr>
              <w:tc>
                <w:tcPr>
                  <w:tcW w:type="dxa" w:w="1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16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项目特征描述</w:t>
                  </w:r>
                </w:p>
              </w:tc>
              <w:tc>
                <w:tcPr>
                  <w:tcW w:type="dxa" w:w="2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工程数量</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54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.布展及创作空间构建</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一层艺术展厅</w:t>
                  </w:r>
                </w:p>
              </w:tc>
              <w:tc>
                <w:tcPr>
                  <w:tcW w:type="dxa" w:w="16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现场约</w:t>
                  </w:r>
                  <w:r>
                    <w:rPr>
                      <w:rFonts w:ascii="仿宋_GB2312" w:hAnsi="仿宋_GB2312" w:cs="仿宋_GB2312" w:eastAsia="仿宋_GB2312"/>
                      <w:sz w:val="21"/>
                    </w:rPr>
                    <w:t>250平米布展空间的设计、空间优化工作，对需要进行布展设施部署的位置进行适当的功能性完善。包括但不限于：</w:t>
                  </w:r>
                  <w:r>
                    <w:br/>
                  </w:r>
                  <w:r>
                    <w:rPr>
                      <w:rFonts w:ascii="仿宋_GB2312" w:hAnsi="仿宋_GB2312" w:cs="仿宋_GB2312" w:eastAsia="仿宋_GB2312"/>
                      <w:sz w:val="21"/>
                    </w:rPr>
                    <w:t>1、</w:t>
                  </w:r>
                  <w:r>
                    <w:rPr>
                      <w:rFonts w:ascii="仿宋_GB2312" w:hAnsi="仿宋_GB2312" w:cs="仿宋_GB2312" w:eastAsia="仿宋_GB2312"/>
                      <w:sz w:val="21"/>
                    </w:rPr>
                    <w:t>触摸屏挂墙加固施工：</w:t>
                  </w:r>
                  <w:r>
                    <w:rPr>
                      <w:rFonts w:ascii="仿宋_GB2312" w:hAnsi="仿宋_GB2312" w:cs="仿宋_GB2312" w:eastAsia="仿宋_GB2312"/>
                      <w:sz w:val="21"/>
                    </w:rPr>
                    <w:t>使用木工板、轻钢龙骨加固触摸屏挂墙，加固后恢复保持与当前墙面一致；</w:t>
                  </w:r>
                  <w:r>
                    <w:br/>
                  </w:r>
                  <w:r>
                    <w:rPr>
                      <w:rFonts w:ascii="仿宋_GB2312" w:hAnsi="仿宋_GB2312" w:cs="仿宋_GB2312" w:eastAsia="仿宋_GB2312"/>
                      <w:sz w:val="21"/>
                    </w:rPr>
                    <w:t>2、</w:t>
                  </w:r>
                  <w:r>
                    <w:rPr>
                      <w:rFonts w:ascii="仿宋_GB2312" w:hAnsi="仿宋_GB2312" w:cs="仿宋_GB2312" w:eastAsia="仿宋_GB2312"/>
                      <w:sz w:val="21"/>
                    </w:rPr>
                    <w:t>入口右侧墙面造型施工：按布展需求</w:t>
                  </w:r>
                  <w:r>
                    <w:rPr>
                      <w:rFonts w:ascii="仿宋_GB2312" w:hAnsi="仿宋_GB2312" w:cs="仿宋_GB2312" w:eastAsia="仿宋_GB2312"/>
                      <w:sz w:val="21"/>
                    </w:rPr>
                    <w:t>（</w:t>
                  </w:r>
                  <w:r>
                    <w:rPr>
                      <w:rFonts w:ascii="仿宋_GB2312" w:hAnsi="仿宋_GB2312" w:cs="仿宋_GB2312" w:eastAsia="仿宋_GB2312"/>
                      <w:sz w:val="21"/>
                    </w:rPr>
                    <w:t>设置符合设计风格的小型浮雕造型</w:t>
                  </w:r>
                  <w:r>
                    <w:rPr>
                      <w:rFonts w:ascii="仿宋_GB2312" w:hAnsi="仿宋_GB2312" w:cs="仿宋_GB2312" w:eastAsia="仿宋_GB2312"/>
                      <w:sz w:val="21"/>
                    </w:rPr>
                    <w:t>）</w:t>
                  </w:r>
                  <w:r>
                    <w:rPr>
                      <w:rFonts w:ascii="仿宋_GB2312" w:hAnsi="仿宋_GB2312" w:cs="仿宋_GB2312" w:eastAsia="仿宋_GB2312"/>
                      <w:sz w:val="21"/>
                    </w:rPr>
                    <w:t>完成简易造型的基层制作与面层施工，预留可替换海报安装区域，安装结构支持后期快速拆卸更换内容</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根据</w:t>
                  </w: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.空间各类集成配套板块</w:t>
                  </w:r>
                  <w:r>
                    <w:rPr>
                      <w:rFonts w:ascii="仿宋_GB2312" w:hAnsi="仿宋_GB2312" w:cs="仿宋_GB2312" w:eastAsia="仿宋_GB2312"/>
                      <w:sz w:val="21"/>
                      <w:b/>
                    </w:rPr>
                    <w:t>”及“三、设计要求”，</w:t>
                  </w:r>
                  <w:r>
                    <w:rPr>
                      <w:rFonts w:ascii="仿宋_GB2312" w:hAnsi="仿宋_GB2312" w:cs="仿宋_GB2312" w:eastAsia="仿宋_GB2312"/>
                      <w:sz w:val="21"/>
                    </w:rPr>
                    <w:t>对所有本空间需要安装的设备进行安装前施工准备</w:t>
                  </w:r>
                  <w:r>
                    <w:rPr>
                      <w:rFonts w:ascii="仿宋_GB2312" w:hAnsi="仿宋_GB2312" w:cs="仿宋_GB2312" w:eastAsia="仿宋_GB2312"/>
                      <w:sz w:val="21"/>
                    </w:rPr>
                    <w:t>；</w:t>
                  </w:r>
                  <w:r>
                    <w:br/>
                  </w:r>
                  <w:r>
                    <w:rPr>
                      <w:rFonts w:ascii="仿宋_GB2312" w:hAnsi="仿宋_GB2312" w:cs="仿宋_GB2312" w:eastAsia="仿宋_GB2312"/>
                      <w:sz w:val="21"/>
                    </w:rPr>
                    <w:t>4、对全部设备的布线、安装、调试工作。</w:t>
                  </w:r>
                </w:p>
              </w:tc>
              <w:tc>
                <w:tcPr>
                  <w:tcW w:type="dxa" w:w="2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一层艺术展厅裸眼</w:t>
                  </w:r>
                  <w:r>
                    <w:rPr>
                      <w:rFonts w:ascii="仿宋_GB2312" w:hAnsi="仿宋_GB2312" w:cs="仿宋_GB2312" w:eastAsia="仿宋_GB2312"/>
                      <w:sz w:val="21"/>
                    </w:rPr>
                    <w:t>3D空间构建</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搭建裸眼</w:t>
                  </w:r>
                  <w:r>
                    <w:rPr>
                      <w:rFonts w:ascii="仿宋_GB2312" w:hAnsi="仿宋_GB2312" w:cs="仿宋_GB2312" w:eastAsia="仿宋_GB2312"/>
                      <w:sz w:val="21"/>
                    </w:rPr>
                    <w:t>3D展示空间，支持进行裸眼3D内容展示，规划部分内容制作。包括但不限于：</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完成裸眼</w:t>
                  </w:r>
                  <w:r>
                    <w:rPr>
                      <w:rFonts w:ascii="仿宋_GB2312" w:hAnsi="仿宋_GB2312" w:cs="仿宋_GB2312" w:eastAsia="仿宋_GB2312"/>
                      <w:sz w:val="21"/>
                    </w:rPr>
                    <w:t>3D 展示空间的方案设计与施工图深化，包含屏体安装结构、观看视距、空间声学专项设计。</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LED 屏钢结构支架施工：按屏体尺寸定制加工钢结构安装支架，完成现场焊接、防锈防腐处理与结构固定；施工前完成安装面荷载验算，确保结构承重安全，完工后做隐蔽工程验收。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安装空间适配改造：针对屏体安装、设备散热、管线敷设需求，完成局部墙面、顶面开孔与补强，施工后恢复面层，保证空间整体美观。</w:t>
                  </w:r>
                  <w:r>
                    <w:br/>
                  </w:r>
                  <w:r>
                    <w:rPr>
                      <w:rFonts w:ascii="仿宋_GB2312" w:hAnsi="仿宋_GB2312" w:cs="仿宋_GB2312" w:eastAsia="仿宋_GB2312"/>
                      <w:sz w:val="21"/>
                    </w:rPr>
                    <w:t>配置</w:t>
                  </w:r>
                  <w:r>
                    <w:rPr>
                      <w:rFonts w:ascii="仿宋_GB2312" w:hAnsi="仿宋_GB2312" w:cs="仿宋_GB2312" w:eastAsia="仿宋_GB2312"/>
                      <w:sz w:val="21"/>
                    </w:rPr>
                    <w:t>设备参数要求</w:t>
                  </w:r>
                  <w:r>
                    <w:rPr>
                      <w:rFonts w:ascii="仿宋_GB2312" w:hAnsi="仿宋_GB2312" w:cs="仿宋_GB2312" w:eastAsia="仿宋_GB2312"/>
                      <w:sz w:val="21"/>
                    </w:rPr>
                    <w:t>：</w:t>
                  </w:r>
                  <w:r>
                    <w:br/>
                  </w:r>
                  <w:r>
                    <w:rPr>
                      <w:rFonts w:ascii="仿宋_GB2312" w:hAnsi="仿宋_GB2312" w:cs="仿宋_GB2312" w:eastAsia="仿宋_GB2312"/>
                      <w:sz w:val="21"/>
                    </w:rPr>
                    <w:t>1、LED屏</w:t>
                  </w:r>
                  <w:r>
                    <w:rPr>
                      <w:rFonts w:ascii="仿宋_GB2312" w:hAnsi="仿宋_GB2312" w:cs="仿宋_GB2312" w:eastAsia="仿宋_GB2312"/>
                      <w:sz w:val="21"/>
                      <w:b/>
                    </w:rPr>
                    <w:t>（</w:t>
                  </w:r>
                  <w:r>
                    <w:rPr>
                      <w:rFonts w:ascii="仿宋_GB2312" w:hAnsi="仿宋_GB2312" w:cs="仿宋_GB2312" w:eastAsia="仿宋_GB2312"/>
                      <w:sz w:val="21"/>
                      <w:b/>
                    </w:rPr>
                    <w:t>提供佐证材料）</w:t>
                  </w:r>
                  <w:r>
                    <w:br/>
                  </w:r>
                  <w:r>
                    <w:rPr>
                      <w:rFonts w:ascii="仿宋_GB2312" w:hAnsi="仿宋_GB2312" w:cs="仿宋_GB2312" w:eastAsia="仿宋_GB2312"/>
                      <w:sz w:val="21"/>
                    </w:rPr>
                    <w:t>像素结构：表贴三合一</w:t>
                  </w:r>
                  <w:r>
                    <w:rPr>
                      <w:rFonts w:ascii="仿宋_GB2312" w:hAnsi="仿宋_GB2312" w:cs="仿宋_GB2312" w:eastAsia="仿宋_GB2312"/>
                      <w:sz w:val="21"/>
                    </w:rPr>
                    <w:t>SMD1212，</w:t>
                  </w:r>
                  <w:r>
                    <w:rPr>
                      <w:rFonts w:ascii="仿宋_GB2312" w:hAnsi="仿宋_GB2312" w:cs="仿宋_GB2312" w:eastAsia="仿宋_GB2312"/>
                      <w:sz w:val="21"/>
                    </w:rPr>
                    <w:t>像素</w:t>
                  </w:r>
                  <w:r>
                    <w:rPr>
                      <w:rFonts w:ascii="仿宋_GB2312" w:hAnsi="仿宋_GB2312" w:cs="仿宋_GB2312" w:eastAsia="仿宋_GB2312"/>
                      <w:sz w:val="21"/>
                    </w:rPr>
                    <w:t>间距</w:t>
                  </w:r>
                  <w:r>
                    <w:rPr>
                      <w:rFonts w:ascii="仿宋_GB2312" w:hAnsi="仿宋_GB2312" w:cs="仿宋_GB2312" w:eastAsia="仿宋_GB2312"/>
                      <w:sz w:val="21"/>
                    </w:rPr>
                    <w:t>≤1.6mm；</w:t>
                  </w:r>
                  <w:r>
                    <w:rPr>
                      <w:rFonts w:ascii="仿宋_GB2312" w:hAnsi="仿宋_GB2312" w:cs="仿宋_GB2312" w:eastAsia="仿宋_GB2312"/>
                      <w:sz w:val="21"/>
                      <w:b/>
                    </w:rPr>
                    <w:t>（提供第三方机构出具的</w:t>
                  </w:r>
                  <w:r>
                    <w:rPr>
                      <w:rFonts w:ascii="仿宋_GB2312" w:hAnsi="仿宋_GB2312" w:cs="仿宋_GB2312" w:eastAsia="仿宋_GB2312"/>
                      <w:sz w:val="21"/>
                      <w:b/>
                    </w:rPr>
                    <w:t>CNAS或CMA认可检测报告）</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显示面积</w:t>
                  </w:r>
                  <w:r>
                    <w:rPr>
                      <w:rFonts w:ascii="仿宋_GB2312" w:hAnsi="仿宋_GB2312" w:cs="仿宋_GB2312" w:eastAsia="仿宋_GB2312"/>
                      <w:sz w:val="21"/>
                    </w:rPr>
                    <w:t>≥7㎡；</w:t>
                  </w:r>
                  <w:r>
                    <w:br/>
                  </w:r>
                  <w:r>
                    <w:rPr>
                      <w:rFonts w:ascii="仿宋_GB2312" w:hAnsi="仿宋_GB2312" w:cs="仿宋_GB2312" w:eastAsia="仿宋_GB2312"/>
                      <w:sz w:val="21"/>
                    </w:rPr>
                    <w:t>裸眼</w:t>
                  </w:r>
                  <w:r>
                    <w:rPr>
                      <w:rFonts w:ascii="仿宋_GB2312" w:hAnsi="仿宋_GB2312" w:cs="仿宋_GB2312" w:eastAsia="仿宋_GB2312"/>
                      <w:sz w:val="21"/>
                    </w:rPr>
                    <w:t>3D视频处理器支持点对点分辨率，HDMI/DVI等接口。</w:t>
                  </w:r>
                  <w:r>
                    <w:br/>
                  </w:r>
                  <w:r>
                    <w:rPr>
                      <w:rFonts w:ascii="仿宋_GB2312" w:hAnsi="仿宋_GB2312" w:cs="仿宋_GB2312" w:eastAsia="仿宋_GB2312"/>
                      <w:sz w:val="21"/>
                    </w:rPr>
                    <w:t>2、裸眼3D控制器：</w:t>
                  </w:r>
                  <w:r>
                    <w:rPr>
                      <w:rFonts w:ascii="仿宋_GB2312" w:hAnsi="仿宋_GB2312" w:cs="仿宋_GB2312" w:eastAsia="仿宋_GB2312"/>
                      <w:sz w:val="21"/>
                    </w:rPr>
                    <w:t>≥8核心、16线程；内存≥16GB DDR4</w:t>
                  </w:r>
                  <w:r>
                    <w:rPr>
                      <w:rFonts w:ascii="仿宋_GB2312" w:hAnsi="仿宋_GB2312" w:cs="仿宋_GB2312" w:eastAsia="仿宋_GB2312"/>
                      <w:sz w:val="21"/>
                    </w:rPr>
                    <w:t>；</w:t>
                  </w:r>
                  <w:r>
                    <w:rPr>
                      <w:rFonts w:ascii="仿宋_GB2312" w:hAnsi="仿宋_GB2312" w:cs="仿宋_GB2312" w:eastAsia="仿宋_GB2312"/>
                      <w:sz w:val="21"/>
                    </w:rPr>
                    <w:t>显存容量</w:t>
                  </w:r>
                  <w:r>
                    <w:rPr>
                      <w:rFonts w:ascii="仿宋_GB2312" w:hAnsi="仿宋_GB2312" w:cs="仿宋_GB2312" w:eastAsia="仿宋_GB2312"/>
                      <w:sz w:val="21"/>
                    </w:rPr>
                    <w:t>≥6GB，显存类型GDDR5及以上配置</w:t>
                  </w:r>
                  <w:r>
                    <w:rPr>
                      <w:rFonts w:ascii="仿宋_GB2312" w:hAnsi="仿宋_GB2312" w:cs="仿宋_GB2312" w:eastAsia="仿宋_GB2312"/>
                      <w:sz w:val="21"/>
                    </w:rPr>
                    <w:t>；带开关机卡。</w:t>
                  </w:r>
                  <w:r>
                    <w:br/>
                  </w:r>
                  <w:r>
                    <w:rPr>
                      <w:rFonts w:ascii="仿宋_GB2312" w:hAnsi="仿宋_GB2312" w:cs="仿宋_GB2312" w:eastAsia="仿宋_GB2312"/>
                      <w:sz w:val="21"/>
                    </w:rPr>
                    <w:t>3、音响系统</w:t>
                  </w:r>
                  <w:r>
                    <w:br/>
                  </w:r>
                  <w:r>
                    <w:rPr>
                      <w:rFonts w:ascii="仿宋_GB2312" w:hAnsi="仿宋_GB2312" w:cs="仿宋_GB2312" w:eastAsia="仿宋_GB2312"/>
                      <w:sz w:val="21"/>
                    </w:rPr>
                    <w:t>采用</w:t>
                  </w:r>
                  <w:r>
                    <w:rPr>
                      <w:rFonts w:ascii="仿宋_GB2312" w:hAnsi="仿宋_GB2312" w:cs="仿宋_GB2312" w:eastAsia="仿宋_GB2312"/>
                      <w:sz w:val="21"/>
                    </w:rPr>
                    <w:t>2台2路分频吸顶扬声器，配套功放1台。</w:t>
                  </w:r>
                </w:p>
                <w:p>
                  <w:pPr>
                    <w:pStyle w:val="null3"/>
                    <w:jc w:val="left"/>
                  </w:pPr>
                  <w:r>
                    <w:rPr>
                      <w:rFonts w:ascii="仿宋_GB2312" w:hAnsi="仿宋_GB2312" w:cs="仿宋_GB2312" w:eastAsia="仿宋_GB2312"/>
                      <w:sz w:val="21"/>
                    </w:rPr>
                    <w:t>4、安装：配套现场安装LED屏的钢结构支架；配套配电箱、发送卡、LED屏幕控制系统，含安装辅材。</w:t>
                  </w:r>
                  <w:r>
                    <w:br/>
                  </w:r>
                  <w:r>
                    <w:rPr>
                      <w:rFonts w:ascii="仿宋_GB2312" w:hAnsi="仿宋_GB2312" w:cs="仿宋_GB2312" w:eastAsia="仿宋_GB2312"/>
                      <w:sz w:val="21"/>
                    </w:rPr>
                    <w:t>5、裸眼3D影片</w:t>
                  </w:r>
                  <w:r>
                    <w:br/>
                  </w:r>
                  <w:r>
                    <w:rPr>
                      <w:rFonts w:ascii="仿宋_GB2312" w:hAnsi="仿宋_GB2312" w:cs="仿宋_GB2312" w:eastAsia="仿宋_GB2312"/>
                      <w:sz w:val="21"/>
                    </w:rPr>
                    <w:t>需</w:t>
                  </w:r>
                  <w:r>
                    <w:rPr>
                      <w:rFonts w:ascii="仿宋_GB2312" w:hAnsi="仿宋_GB2312" w:cs="仿宋_GB2312" w:eastAsia="仿宋_GB2312"/>
                      <w:sz w:val="21"/>
                    </w:rPr>
                    <w:t>建模制作渲染</w:t>
                  </w:r>
                  <w:r>
                    <w:rPr>
                      <w:rFonts w:ascii="仿宋_GB2312" w:hAnsi="仿宋_GB2312" w:cs="仿宋_GB2312" w:eastAsia="仿宋_GB2312"/>
                      <w:sz w:val="21"/>
                    </w:rPr>
                    <w:t>3D动画视频，总时长40秒，可支持分段定制制作。</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一层挂画导轨与展陈设施</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构建</w:t>
                  </w:r>
                  <w:r>
                    <w:rPr>
                      <w:rFonts w:ascii="仿宋_GB2312" w:hAnsi="仿宋_GB2312" w:cs="仿宋_GB2312" w:eastAsia="仿宋_GB2312"/>
                      <w:sz w:val="21"/>
                    </w:rPr>
                    <w:t>满足</w:t>
                  </w:r>
                  <w:r>
                    <w:rPr>
                      <w:rFonts w:ascii="仿宋_GB2312" w:hAnsi="仿宋_GB2312" w:cs="仿宋_GB2312" w:eastAsia="仿宋_GB2312"/>
                      <w:sz w:val="21"/>
                    </w:rPr>
                    <w:t>多次复用及调整展示内容的基础配置，</w:t>
                  </w:r>
                  <w:r>
                    <w:rPr>
                      <w:rFonts w:ascii="仿宋_GB2312" w:hAnsi="仿宋_GB2312" w:cs="仿宋_GB2312" w:eastAsia="仿宋_GB2312"/>
                      <w:sz w:val="21"/>
                    </w:rPr>
                    <w:t>完成挂画导轨、洞洞板、各类展柜的现场测量定位与</w:t>
                  </w:r>
                  <w:r>
                    <w:rPr>
                      <w:rFonts w:ascii="仿宋_GB2312" w:hAnsi="仿宋_GB2312" w:cs="仿宋_GB2312" w:eastAsia="仿宋_GB2312"/>
                      <w:sz w:val="21"/>
                    </w:rPr>
                    <w:t>安装</w:t>
                  </w:r>
                  <w:r>
                    <w:rPr>
                      <w:rFonts w:ascii="仿宋_GB2312" w:hAnsi="仿宋_GB2312" w:cs="仿宋_GB2312" w:eastAsia="仿宋_GB2312"/>
                      <w:sz w:val="21"/>
                    </w:rPr>
                    <w:t>，出具排布施工图；需安装基层的部位提前完成墙面补强、基层板铺设，确保安装承重符合要求。</w:t>
                  </w:r>
                  <w:r>
                    <w:br/>
                  </w:r>
                  <w:r>
                    <w:rPr>
                      <w:rFonts w:ascii="仿宋_GB2312" w:hAnsi="仿宋_GB2312" w:cs="仿宋_GB2312" w:eastAsia="仿宋_GB2312"/>
                      <w:sz w:val="21"/>
                    </w:rPr>
                    <w:t>包括但不限于：</w:t>
                  </w:r>
                  <w:r>
                    <w:br/>
                  </w:r>
                  <w:r>
                    <w:rPr>
                      <w:rFonts w:ascii="仿宋_GB2312" w:hAnsi="仿宋_GB2312" w:cs="仿宋_GB2312" w:eastAsia="仿宋_GB2312"/>
                      <w:sz w:val="21"/>
                    </w:rPr>
                    <w:t>1、</w:t>
                  </w:r>
                  <w:r>
                    <w:rPr>
                      <w:rFonts w:ascii="仿宋_GB2312" w:hAnsi="仿宋_GB2312" w:cs="仿宋_GB2312" w:eastAsia="仿宋_GB2312"/>
                      <w:sz w:val="21"/>
                    </w:rPr>
                    <w:t>挂画导轨：</w:t>
                  </w:r>
                  <w:r>
                    <w:rPr>
                      <w:rFonts w:ascii="仿宋_GB2312" w:hAnsi="仿宋_GB2312" w:cs="仿宋_GB2312" w:eastAsia="仿宋_GB2312"/>
                      <w:sz w:val="21"/>
                    </w:rPr>
                    <w:t>安装金属材质挂画导轨，顶部吊装，内侧紧贴墙面；含导轨连接器、吊杆等配套辅材；导轨总长度约</w:t>
                  </w:r>
                  <w:r>
                    <w:rPr>
                      <w:rFonts w:ascii="仿宋_GB2312" w:hAnsi="仿宋_GB2312" w:cs="仿宋_GB2312" w:eastAsia="仿宋_GB2312"/>
                      <w:sz w:val="21"/>
                    </w:rPr>
                    <w:t>50米。配套挂画线，含挂画钩、挂画线、挂画器；120cm/根，配套100根。</w:t>
                  </w:r>
                  <w:r>
                    <w:br/>
                  </w:r>
                  <w:r>
                    <w:rPr>
                      <w:rFonts w:ascii="仿宋_GB2312" w:hAnsi="仿宋_GB2312" w:cs="仿宋_GB2312" w:eastAsia="仿宋_GB2312"/>
                      <w:sz w:val="21"/>
                    </w:rPr>
                    <w:t>2、</w:t>
                  </w:r>
                  <w:r>
                    <w:rPr>
                      <w:rFonts w:ascii="仿宋_GB2312" w:hAnsi="仿宋_GB2312" w:cs="仿宋_GB2312" w:eastAsia="仿宋_GB2312"/>
                      <w:sz w:val="21"/>
                    </w:rPr>
                    <w:t>洞洞板：</w:t>
                  </w:r>
                  <w:r>
                    <w:rPr>
                      <w:rFonts w:ascii="仿宋_GB2312" w:hAnsi="仿宋_GB2312" w:cs="仿宋_GB2312" w:eastAsia="仿宋_GB2312"/>
                      <w:sz w:val="21"/>
                    </w:rPr>
                    <w:t>洞洞板</w:t>
                  </w:r>
                  <w:r>
                    <w:rPr>
                      <w:rFonts w:ascii="仿宋_GB2312" w:hAnsi="仿宋_GB2312" w:cs="仿宋_GB2312" w:eastAsia="仿宋_GB2312"/>
                      <w:sz w:val="21"/>
                    </w:rPr>
                    <w:t>≥8套，采用实木生态板，支持造型定制，整体180cm高*100cm宽；含洞洞板置物横板、挂钩。</w:t>
                  </w:r>
                  <w:r>
                    <w:br/>
                  </w:r>
                  <w:r>
                    <w:rPr>
                      <w:rFonts w:ascii="仿宋_GB2312" w:hAnsi="仿宋_GB2312" w:cs="仿宋_GB2312" w:eastAsia="仿宋_GB2312"/>
                      <w:sz w:val="21"/>
                    </w:rPr>
                    <w:t>3、</w:t>
                  </w:r>
                  <w:r>
                    <w:rPr>
                      <w:rFonts w:ascii="仿宋_GB2312" w:hAnsi="仿宋_GB2312" w:cs="仿宋_GB2312" w:eastAsia="仿宋_GB2312"/>
                      <w:sz w:val="21"/>
                    </w:rPr>
                    <w:t>展柜：</w:t>
                  </w:r>
                  <w:r>
                    <w:rPr>
                      <w:rFonts w:ascii="仿宋_GB2312" w:hAnsi="仿宋_GB2312" w:cs="仿宋_GB2312" w:eastAsia="仿宋_GB2312"/>
                      <w:sz w:val="21"/>
                    </w:rPr>
                    <w:t>全息展柜</w:t>
                  </w:r>
                  <w:r>
                    <w:rPr>
                      <w:rFonts w:ascii="仿宋_GB2312" w:hAnsi="仿宋_GB2312" w:cs="仿宋_GB2312" w:eastAsia="仿宋_GB2312"/>
                      <w:sz w:val="21"/>
                    </w:rPr>
                    <w:t>1个，透明屏为≥43英寸电容多点触摸屏、分辨率≥1920*1080、对比度≥1000:1、亮度≥350cd/m²；钢制柜体</w:t>
                  </w:r>
                  <w:r>
                    <w:rPr>
                      <w:rFonts w:ascii="仿宋_GB2312" w:hAnsi="仿宋_GB2312" w:cs="仿宋_GB2312" w:eastAsia="仿宋_GB2312"/>
                      <w:sz w:val="21"/>
                    </w:rPr>
                    <w:t>尺寸约</w:t>
                  </w:r>
                  <w:r>
                    <w:rPr>
                      <w:rFonts w:ascii="仿宋_GB2312" w:hAnsi="仿宋_GB2312" w:cs="仿宋_GB2312" w:eastAsia="仿宋_GB2312"/>
                      <w:sz w:val="21"/>
                    </w:rPr>
                    <w:t>1040*650*330</w:t>
                  </w:r>
                  <w:r>
                    <w:rPr>
                      <w:rFonts w:ascii="仿宋_GB2312" w:hAnsi="仿宋_GB2312" w:cs="仿宋_GB2312" w:eastAsia="仿宋_GB2312"/>
                      <w:sz w:val="21"/>
                    </w:rPr>
                    <w:t>mm</w:t>
                  </w:r>
                  <w:r>
                    <w:rPr>
                      <w:rFonts w:ascii="仿宋_GB2312" w:hAnsi="仿宋_GB2312" w:cs="仿宋_GB2312" w:eastAsia="仿宋_GB2312"/>
                      <w:sz w:val="21"/>
                    </w:rPr>
                    <w:t>（长</w:t>
                  </w:r>
                  <w:r>
                    <w:rPr>
                      <w:rFonts w:ascii="仿宋_GB2312" w:hAnsi="仿宋_GB2312" w:cs="仿宋_GB2312" w:eastAsia="仿宋_GB2312"/>
                      <w:sz w:val="21"/>
                    </w:rPr>
                    <w:t>*宽*厚），外表面金属漆，防磁、防静电；配套主机规格4核</w:t>
                  </w:r>
                  <w:r>
                    <w:rPr>
                      <w:rFonts w:ascii="仿宋_GB2312" w:hAnsi="仿宋_GB2312" w:cs="仿宋_GB2312" w:eastAsia="仿宋_GB2312"/>
                      <w:sz w:val="21"/>
                    </w:rPr>
                    <w:t>心</w:t>
                  </w:r>
                  <w:r>
                    <w:rPr>
                      <w:rFonts w:ascii="仿宋_GB2312" w:hAnsi="仿宋_GB2312" w:cs="仿宋_GB2312" w:eastAsia="仿宋_GB2312"/>
                      <w:sz w:val="21"/>
                    </w:rPr>
                    <w:t>4线程、≥8G内存、≥128G存储空间。</w:t>
                  </w:r>
                  <w:r>
                    <w:br/>
                  </w:r>
                  <w:r>
                    <w:rPr>
                      <w:rFonts w:ascii="仿宋_GB2312" w:hAnsi="仿宋_GB2312" w:cs="仿宋_GB2312" w:eastAsia="仿宋_GB2312"/>
                      <w:sz w:val="21"/>
                    </w:rPr>
                    <w:t>4、普通玻璃展柜2个，</w:t>
                  </w:r>
                  <w:r>
                    <w:rPr>
                      <w:rFonts w:ascii="仿宋_GB2312" w:hAnsi="仿宋_GB2312" w:cs="仿宋_GB2312" w:eastAsia="仿宋_GB2312"/>
                      <w:sz w:val="21"/>
                    </w:rPr>
                    <w:t>尺寸约</w:t>
                  </w:r>
                  <w:r>
                    <w:rPr>
                      <w:rFonts w:ascii="仿宋_GB2312" w:hAnsi="仿宋_GB2312" w:cs="仿宋_GB2312" w:eastAsia="仿宋_GB2312"/>
                      <w:sz w:val="21"/>
                    </w:rPr>
                    <w:t>1800*450*900</w:t>
                  </w:r>
                  <w:r>
                    <w:rPr>
                      <w:rFonts w:ascii="仿宋_GB2312" w:hAnsi="仿宋_GB2312" w:cs="仿宋_GB2312" w:eastAsia="仿宋_GB2312"/>
                      <w:sz w:val="21"/>
                    </w:rPr>
                    <w:t>mm</w:t>
                  </w:r>
                  <w:r>
                    <w:rPr>
                      <w:rFonts w:ascii="仿宋_GB2312" w:hAnsi="仿宋_GB2312" w:cs="仿宋_GB2312" w:eastAsia="仿宋_GB2312"/>
                      <w:sz w:val="21"/>
                    </w:rPr>
                    <w:t>金属支架玻璃展柜，带可锁止滚轮（半隐藏）。</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一层空间中控与弱电系统</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用于对整个空间的投影、屏幕、电脑等进行集中控制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安装工程：</w:t>
                  </w:r>
                </w:p>
                <w:p>
                  <w:pPr>
                    <w:pStyle w:val="null3"/>
                    <w:jc w:val="left"/>
                  </w:pPr>
                  <w:r>
                    <w:rPr>
                      <w:rFonts w:ascii="仿宋_GB2312" w:hAnsi="仿宋_GB2312" w:cs="仿宋_GB2312" w:eastAsia="仿宋_GB2312"/>
                      <w:sz w:val="21"/>
                    </w:rPr>
                    <w:t>各个点位所需电、网布线工作。</w:t>
                  </w:r>
                  <w:r>
                    <w:rPr>
                      <w:rFonts w:ascii="仿宋_GB2312" w:hAnsi="仿宋_GB2312" w:cs="仿宋_GB2312" w:eastAsia="仿宋_GB2312"/>
                      <w:sz w:val="21"/>
                    </w:rPr>
                    <w:t>完成全展厅中控系统的综合布线工程：完成全展厅</w:t>
                  </w:r>
                  <w:r>
                    <w:rPr>
                      <w:rFonts w:ascii="仿宋_GB2312" w:hAnsi="仿宋_GB2312" w:cs="仿宋_GB2312" w:eastAsia="仿宋_GB2312"/>
                      <w:sz w:val="21"/>
                    </w:rPr>
                    <w:t>HDMI 视频线、音频线、网线、控制线等弱电管线敷设，全部线路采用阻燃套管防护；强弱电线路分槽分井布设，间距符合规范；管线沿墙面、顶面隐蔽布设，末端点位预留余量，做好线路标识与端接测试。</w:t>
                  </w:r>
                  <w:r>
                    <w:br/>
                  </w:r>
                  <w:r>
                    <w:rPr>
                      <w:rFonts w:ascii="仿宋_GB2312" w:hAnsi="仿宋_GB2312" w:cs="仿宋_GB2312" w:eastAsia="仿宋_GB2312"/>
                      <w:sz w:val="21"/>
                    </w:rPr>
                    <w:t>参数要求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1、配置中控主机1台，</w:t>
                  </w:r>
                  <w:r>
                    <w:rPr>
                      <w:rFonts w:ascii="仿宋_GB2312" w:hAnsi="仿宋_GB2312" w:cs="仿宋_GB2312" w:eastAsia="仿宋_GB2312"/>
                      <w:sz w:val="21"/>
                    </w:rPr>
                    <w:t>提供设备不低于以下参数要求：</w:t>
                  </w:r>
                  <w:r>
                    <w:rPr>
                      <w:rFonts w:ascii="仿宋_GB2312" w:hAnsi="仿宋_GB2312" w:cs="仿宋_GB2312" w:eastAsia="仿宋_GB2312"/>
                      <w:sz w:val="21"/>
                    </w:rPr>
                    <w:t>1.8G双核处理器，内存8GB，存储SSD 128闪存；配备可编程智能控制系统，具备可视化控制界面；支持根据现场设备的配置进行编程调试，支持配电箱控制、投影机开关、大屏幕拼接等；配套</w:t>
                  </w:r>
                  <w:r>
                    <w:rPr>
                      <w:rFonts w:ascii="仿宋_GB2312" w:hAnsi="仿宋_GB2312" w:cs="仿宋_GB2312" w:eastAsia="仿宋_GB2312"/>
                      <w:sz w:val="21"/>
                    </w:rPr>
                    <w:t>≥</w:t>
                  </w:r>
                  <w:r>
                    <w:rPr>
                      <w:rFonts w:ascii="仿宋_GB2312" w:hAnsi="仿宋_GB2312" w:cs="仿宋_GB2312" w:eastAsia="仿宋_GB2312"/>
                      <w:sz w:val="21"/>
                    </w:rPr>
                    <w:t>21.5英寸显示器1台及无线鼠键套装。</w:t>
                  </w:r>
                  <w:r>
                    <w:br/>
                  </w:r>
                  <w:r>
                    <w:rPr>
                      <w:rFonts w:ascii="仿宋_GB2312" w:hAnsi="仿宋_GB2312" w:cs="仿宋_GB2312" w:eastAsia="仿宋_GB2312"/>
                      <w:sz w:val="21"/>
                    </w:rPr>
                    <w:t>2、移动控制终端1台</w:t>
                  </w:r>
                  <w:r>
                    <w:rPr>
                      <w:rFonts w:ascii="仿宋_GB2312" w:hAnsi="仿宋_GB2312" w:cs="仿宋_GB2312" w:eastAsia="仿宋_GB2312"/>
                      <w:sz w:val="21"/>
                    </w:rPr>
                    <w:t>：</w:t>
                  </w:r>
                  <w:r>
                    <w:rPr>
                      <w:rFonts w:ascii="仿宋_GB2312" w:hAnsi="仿宋_GB2312" w:cs="仿宋_GB2312" w:eastAsia="仿宋_GB2312"/>
                      <w:sz w:val="21"/>
                    </w:rPr>
                    <w:t>规格</w:t>
                  </w:r>
                  <w:r>
                    <w:rPr>
                      <w:rFonts w:ascii="仿宋_GB2312" w:hAnsi="仿宋_GB2312" w:cs="仿宋_GB2312" w:eastAsia="仿宋_GB2312"/>
                      <w:sz w:val="21"/>
                    </w:rPr>
                    <w:t>≥</w:t>
                  </w:r>
                  <w:r>
                    <w:rPr>
                      <w:rFonts w:ascii="仿宋_GB2312" w:hAnsi="仿宋_GB2312" w:cs="仿宋_GB2312" w:eastAsia="仿宋_GB2312"/>
                      <w:sz w:val="21"/>
                    </w:rPr>
                    <w:t>4核</w:t>
                  </w:r>
                  <w:r>
                    <w:rPr>
                      <w:rFonts w:ascii="仿宋_GB2312" w:hAnsi="仿宋_GB2312" w:cs="仿宋_GB2312" w:eastAsia="仿宋_GB2312"/>
                      <w:sz w:val="21"/>
                    </w:rPr>
                    <w:t>心</w:t>
                  </w:r>
                  <w:r>
                    <w:rPr>
                      <w:rFonts w:ascii="仿宋_GB2312" w:hAnsi="仿宋_GB2312" w:cs="仿宋_GB2312" w:eastAsia="仿宋_GB2312"/>
                      <w:sz w:val="21"/>
                    </w:rPr>
                    <w:t>4线程、</w:t>
                  </w:r>
                  <w:r>
                    <w:rPr>
                      <w:rFonts w:ascii="仿宋_GB2312" w:hAnsi="仿宋_GB2312" w:cs="仿宋_GB2312" w:eastAsia="仿宋_GB2312"/>
                      <w:sz w:val="21"/>
                    </w:rPr>
                    <w:t>≥</w:t>
                  </w:r>
                  <w:r>
                    <w:rPr>
                      <w:rFonts w:ascii="仿宋_GB2312" w:hAnsi="仿宋_GB2312" w:cs="仿宋_GB2312" w:eastAsia="仿宋_GB2312"/>
                      <w:sz w:val="21"/>
                    </w:rPr>
                    <w:t>6G+128G</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具有正版软件操作系统</w:t>
                  </w:r>
                  <w:r>
                    <w:rPr>
                      <w:rFonts w:ascii="仿宋_GB2312" w:hAnsi="仿宋_GB2312" w:cs="仿宋_GB2312" w:eastAsia="仿宋_GB2312"/>
                      <w:sz w:val="21"/>
                    </w:rPr>
                    <w:t>。</w:t>
                  </w:r>
                  <w:r>
                    <w:br/>
                  </w:r>
                  <w:r>
                    <w:rPr>
                      <w:rFonts w:ascii="仿宋_GB2312" w:hAnsi="仿宋_GB2312" w:cs="仿宋_GB2312" w:eastAsia="仿宋_GB2312"/>
                      <w:sz w:val="21"/>
                    </w:rPr>
                    <w:t>3、网络系统配置1台</w:t>
                  </w:r>
                  <w:r>
                    <w:rPr>
                      <w:rFonts w:ascii="仿宋_GB2312" w:hAnsi="仿宋_GB2312" w:cs="仿宋_GB2312" w:eastAsia="仿宋_GB2312"/>
                      <w:sz w:val="21"/>
                    </w:rPr>
                    <w:t>：</w:t>
                  </w:r>
                  <w:r>
                    <w:rPr>
                      <w:rFonts w:ascii="仿宋_GB2312" w:hAnsi="仿宋_GB2312" w:cs="仿宋_GB2312" w:eastAsia="仿宋_GB2312"/>
                      <w:sz w:val="21"/>
                    </w:rPr>
                    <w:t>网管型企业级千兆</w:t>
                  </w:r>
                  <w:r>
                    <w:rPr>
                      <w:rFonts w:ascii="仿宋_GB2312" w:hAnsi="仿宋_GB2312" w:cs="仿宋_GB2312" w:eastAsia="仿宋_GB2312"/>
                      <w:sz w:val="21"/>
                    </w:rPr>
                    <w:t>24口POE交换机、1台无线AC路由器、5台无线AP（支持wifi6/2*2双频）。</w:t>
                  </w:r>
                  <w:r>
                    <w:br/>
                  </w:r>
                  <w:r>
                    <w:rPr>
                      <w:rFonts w:ascii="仿宋_GB2312" w:hAnsi="仿宋_GB2312" w:cs="仿宋_GB2312" w:eastAsia="仿宋_GB2312"/>
                      <w:sz w:val="21"/>
                    </w:rPr>
                    <w:t>4、多串口服务终端1台</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RS232/485/422以太网Modbus网关。</w:t>
                  </w:r>
                  <w:r>
                    <w:br/>
                  </w:r>
                  <w:r>
                    <w:rPr>
                      <w:rFonts w:ascii="仿宋_GB2312" w:hAnsi="仿宋_GB2312" w:cs="仿宋_GB2312" w:eastAsia="仿宋_GB2312"/>
                      <w:sz w:val="21"/>
                    </w:rPr>
                    <w:t>5、电源时序器1台，支持RS2332操作通断，支持编程定时。</w:t>
                  </w:r>
                  <w:r>
                    <w:br/>
                  </w:r>
                  <w:r>
                    <w:rPr>
                      <w:rFonts w:ascii="仿宋_GB2312" w:hAnsi="仿宋_GB2312" w:cs="仿宋_GB2312" w:eastAsia="仿宋_GB2312"/>
                      <w:sz w:val="21"/>
                    </w:rPr>
                    <w:t>6、配套42U网络机柜1个，其他辅材包括展厅部署所需的HDMI视频线、音频线、套管、插头、转接件、USB线延长设备、扎带、胶带等。</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四层书法大师研讨创作空间</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基础改造：现有</w:t>
                  </w:r>
                  <w:r>
                    <w:rPr>
                      <w:rFonts w:ascii="仿宋_GB2312" w:hAnsi="仿宋_GB2312" w:cs="仿宋_GB2312" w:eastAsia="仿宋_GB2312"/>
                      <w:sz w:val="21"/>
                    </w:rPr>
                    <w:t>100平米空间设计、场地优化，包括墙面拆除重构、墙面挂画线、磁吸毛毡墙等。</w:t>
                  </w:r>
                  <w:r>
                    <w:br/>
                  </w:r>
                  <w:r>
                    <w:rPr>
                      <w:rFonts w:ascii="仿宋_GB2312" w:hAnsi="仿宋_GB2312" w:cs="仿宋_GB2312" w:eastAsia="仿宋_GB2312"/>
                      <w:sz w:val="21"/>
                    </w:rPr>
                    <w:t>软装及布置：顶部照明灯具、研讨用坐具、茶具、茶柜、书法展示架、窗帘软装等。</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完成约</w:t>
                  </w:r>
                  <w:r>
                    <w:rPr>
                      <w:rFonts w:ascii="仿宋_GB2312" w:hAnsi="仿宋_GB2312" w:cs="仿宋_GB2312" w:eastAsia="仿宋_GB2312"/>
                      <w:sz w:val="21"/>
                    </w:rPr>
                    <w:t>100㎡创作空间的整体改造，包含功能分区、墙面改造、照明、软装布置。</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拆除工程：按设计完成指定墙体、原有设施拆除，施工中做好结构保护，拆除垃圾及时清运，场地清理干净。</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墙体重构施工：完成新建墙体砌筑、抹灰、腻子与面层施工，墙面平整度、垂直度符合装饰装修验收规范，无开裂、空鼓。</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磁吸毛毡墙施工：按指定区域完成基层安装与面层铺设，安装平整、拼接缝隙均匀，磁吸功能满足书法作品张贴需求。</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挂画线导轨施工：安装墙面挂画线系统，导轨水平固定，承重符合展示要求，支持作品高度灵活调节。</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五层空间改造</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共计约</w:t>
                  </w:r>
                  <w:r>
                    <w:rPr>
                      <w:rFonts w:ascii="仿宋_GB2312" w:hAnsi="仿宋_GB2312" w:cs="仿宋_GB2312" w:eastAsia="仿宋_GB2312"/>
                      <w:sz w:val="21"/>
                    </w:rPr>
                    <w:t>100平米空间设计、场地优化、铺设地毯，打造两个研讨空间。</w:t>
                  </w:r>
                  <w:r>
                    <w:br/>
                  </w:r>
                  <w:r>
                    <w:rPr>
                      <w:rFonts w:ascii="仿宋_GB2312" w:hAnsi="仿宋_GB2312" w:cs="仿宋_GB2312" w:eastAsia="仿宋_GB2312"/>
                      <w:sz w:val="21"/>
                    </w:rPr>
                    <w:t>戏曲研讨创作室：内部空间改造。</w:t>
                  </w:r>
                  <w:r>
                    <w:br/>
                  </w:r>
                  <w:r>
                    <w:rPr>
                      <w:rFonts w:ascii="仿宋_GB2312" w:hAnsi="仿宋_GB2312" w:cs="仿宋_GB2312" w:eastAsia="仿宋_GB2312"/>
                      <w:sz w:val="21"/>
                    </w:rPr>
                    <w:t>影视研讨创作室：内部空间改造。</w:t>
                  </w:r>
                </w:p>
                <w:p>
                  <w:pPr>
                    <w:pStyle w:val="null3"/>
                    <w:numPr>
                      <w:ilvl w:val="0"/>
                      <w:numId w:val="1"/>
                    </w:numPr>
                    <w:jc w:val="left"/>
                  </w:pPr>
                  <w:r>
                    <w:rPr>
                      <w:rFonts w:ascii="仿宋_GB2312" w:hAnsi="仿宋_GB2312" w:cs="仿宋_GB2312" w:eastAsia="仿宋_GB2312"/>
                      <w:sz w:val="21"/>
                    </w:rPr>
                    <w:t>完成约</w:t>
                  </w:r>
                  <w:r>
                    <w:rPr>
                      <w:rFonts w:ascii="仿宋_GB2312" w:hAnsi="仿宋_GB2312" w:cs="仿宋_GB2312" w:eastAsia="仿宋_GB2312"/>
                      <w:sz w:val="21"/>
                    </w:rPr>
                    <w:t>100㎡空间的整体改造，</w:t>
                  </w:r>
                  <w:r>
                    <w:rPr>
                      <w:rFonts w:ascii="仿宋_GB2312" w:hAnsi="仿宋_GB2312" w:cs="仿宋_GB2312" w:eastAsia="仿宋_GB2312"/>
                      <w:sz w:val="21"/>
                    </w:rPr>
                    <w:t>按照</w:t>
                  </w:r>
                  <w:r>
                    <w:rPr>
                      <w:rFonts w:ascii="仿宋_GB2312" w:hAnsi="仿宋_GB2312" w:cs="仿宋_GB2312" w:eastAsia="仿宋_GB2312"/>
                      <w:sz w:val="21"/>
                    </w:rPr>
                    <w:t>戏曲研讨创作室、影视研讨创作室两个独立功能空间，</w:t>
                  </w:r>
                  <w:r>
                    <w:rPr>
                      <w:rFonts w:ascii="仿宋_GB2312" w:hAnsi="仿宋_GB2312" w:cs="仿宋_GB2312" w:eastAsia="仿宋_GB2312"/>
                      <w:sz w:val="21"/>
                    </w:rPr>
                    <w:t>进行</w:t>
                  </w:r>
                  <w:r>
                    <w:rPr>
                      <w:rFonts w:ascii="仿宋_GB2312" w:hAnsi="仿宋_GB2312" w:cs="仿宋_GB2312" w:eastAsia="仿宋_GB2312"/>
                      <w:sz w:val="21"/>
                    </w:rPr>
                    <w:t>改造施工。</w:t>
                  </w:r>
                </w:p>
                <w:p>
                  <w:pPr>
                    <w:pStyle w:val="null3"/>
                    <w:numPr>
                      <w:ilvl w:val="0"/>
                      <w:numId w:val="1"/>
                    </w:numPr>
                    <w:jc w:val="left"/>
                  </w:pPr>
                  <w:r>
                    <w:rPr>
                      <w:rFonts w:ascii="仿宋_GB2312" w:hAnsi="仿宋_GB2312" w:cs="仿宋_GB2312" w:eastAsia="仿宋_GB2312"/>
                      <w:sz w:val="21"/>
                    </w:rPr>
                    <w:t>空间施工：按功能分区完成安装施工，</w:t>
                  </w:r>
                  <w:r>
                    <w:rPr>
                      <w:rFonts w:ascii="仿宋_GB2312" w:hAnsi="仿宋_GB2312" w:cs="仿宋_GB2312" w:eastAsia="仿宋_GB2312"/>
                      <w:sz w:val="21"/>
                    </w:rPr>
                    <w:t>施工</w:t>
                  </w:r>
                  <w:r>
                    <w:rPr>
                      <w:rFonts w:ascii="仿宋_GB2312" w:hAnsi="仿宋_GB2312" w:cs="仿宋_GB2312" w:eastAsia="仿宋_GB2312"/>
                      <w:sz w:val="21"/>
                    </w:rPr>
                    <w:t>效果满足研讨需求，施工后做好墙面面层处理。</w:t>
                  </w:r>
                </w:p>
                <w:p>
                  <w:pPr>
                    <w:pStyle w:val="null3"/>
                    <w:numPr>
                      <w:ilvl w:val="0"/>
                      <w:numId w:val="1"/>
                    </w:numPr>
                    <w:jc w:val="left"/>
                  </w:pPr>
                  <w:r>
                    <w:rPr>
                      <w:rFonts w:ascii="仿宋_GB2312" w:hAnsi="仿宋_GB2312" w:cs="仿宋_GB2312" w:eastAsia="仿宋_GB2312"/>
                      <w:sz w:val="21"/>
                    </w:rPr>
                    <w:t>地面工程：完成全空间地面铺设地毯，地毯拼接平整、无起鼓翘边，边缘收边规整；地面承重符合家具设备摆放要求</w:t>
                  </w:r>
                  <w:r>
                    <w:rPr>
                      <w:rFonts w:ascii="仿宋_GB2312" w:hAnsi="仿宋_GB2312" w:cs="仿宋_GB2312" w:eastAsia="仿宋_GB2312"/>
                      <w:sz w:val="21"/>
                    </w:rPr>
                    <w:t>，</w:t>
                  </w:r>
                  <w:r>
                    <w:rPr>
                      <w:rFonts w:ascii="仿宋_GB2312" w:hAnsi="仿宋_GB2312" w:cs="仿宋_GB2312" w:eastAsia="仿宋_GB2312"/>
                      <w:sz w:val="21"/>
                    </w:rPr>
                    <w:t>保证空间整体整洁美观。</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254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.空间各类集成配套板块</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一层展厅入口屏</w:t>
                  </w:r>
                </w:p>
              </w:tc>
              <w:tc>
                <w:tcPr>
                  <w:tcW w:type="dxa" w:w="16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用作展示公告、公示等相关内容。</w:t>
                  </w:r>
                  <w:r>
                    <w:br/>
                  </w:r>
                  <w:r>
                    <w:rPr>
                      <w:rFonts w:ascii="仿宋_GB2312" w:hAnsi="仿宋_GB2312" w:cs="仿宋_GB2312" w:eastAsia="仿宋_GB2312"/>
                      <w:sz w:val="21"/>
                    </w:rPr>
                    <w:t>设备参数要求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≥55英寸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1080P分辨率，支持wifi，壁装；支持智能分屏，手机远程管理，定时开关机；</w:t>
                  </w:r>
                </w:p>
              </w:tc>
              <w:tc>
                <w:tcPr>
                  <w:tcW w:type="dxa" w:w="2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一层投影系统与触摸屏</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前厅配备投影光子屏</w:t>
                  </w:r>
                  <w:r>
                    <w:rPr>
                      <w:rFonts w:ascii="仿宋_GB2312" w:hAnsi="仿宋_GB2312" w:cs="仿宋_GB2312" w:eastAsia="仿宋_GB2312"/>
                      <w:sz w:val="21"/>
                    </w:rPr>
                    <w:t>+触摸显示屏，用以展示进入艺术活化展厅的前序介绍和内容，支持做内容调整及互动。</w:t>
                  </w:r>
                  <w:r>
                    <w:br/>
                  </w:r>
                  <w:r>
                    <w:rPr>
                      <w:rFonts w:ascii="仿宋_GB2312" w:hAnsi="仿宋_GB2312" w:cs="仿宋_GB2312" w:eastAsia="仿宋_GB2312"/>
                      <w:sz w:val="21"/>
                    </w:rPr>
                    <w:t>配置</w:t>
                  </w:r>
                  <w:r>
                    <w:rPr>
                      <w:rFonts w:ascii="仿宋_GB2312" w:hAnsi="仿宋_GB2312" w:cs="仿宋_GB2312" w:eastAsia="仿宋_GB2312"/>
                      <w:sz w:val="21"/>
                    </w:rPr>
                    <w:t>设备参数要求</w:t>
                  </w:r>
                  <w:r>
                    <w:rPr>
                      <w:rFonts w:ascii="仿宋_GB2312" w:hAnsi="仿宋_GB2312" w:cs="仿宋_GB2312" w:eastAsia="仿宋_GB2312"/>
                      <w:sz w:val="21"/>
                    </w:rPr>
                    <w:t>：</w:t>
                  </w:r>
                  <w:r>
                    <w:br/>
                  </w:r>
                  <w:r>
                    <w:rPr>
                      <w:rFonts w:ascii="仿宋_GB2312" w:hAnsi="仿宋_GB2312" w:cs="仿宋_GB2312" w:eastAsia="仿宋_GB2312"/>
                      <w:sz w:val="21"/>
                    </w:rPr>
                    <w:t>1、投影配套</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投影机</w:t>
                  </w:r>
                  <w:r>
                    <w:rPr>
                      <w:rFonts w:ascii="仿宋_GB2312" w:hAnsi="仿宋_GB2312" w:cs="仿宋_GB2312" w:eastAsia="仿宋_GB2312"/>
                      <w:sz w:val="21"/>
                      <w:b/>
                    </w:rPr>
                    <w:t>（</w:t>
                  </w:r>
                  <w:r>
                    <w:rPr>
                      <w:rFonts w:ascii="仿宋_GB2312" w:hAnsi="仿宋_GB2312" w:cs="仿宋_GB2312" w:eastAsia="仿宋_GB2312"/>
                      <w:sz w:val="21"/>
                      <w:b/>
                    </w:rPr>
                    <w:t>提供佐证材料）</w:t>
                  </w:r>
                  <w:r>
                    <w:rPr>
                      <w:rFonts w:ascii="仿宋_GB2312" w:hAnsi="仿宋_GB2312" w:cs="仿宋_GB2312" w:eastAsia="仿宋_GB2312"/>
                      <w:sz w:val="21"/>
                    </w:rPr>
                    <w:t>：</w:t>
                  </w:r>
                  <w:r>
                    <w:rPr>
                      <w:rFonts w:ascii="仿宋_GB2312" w:hAnsi="仿宋_GB2312" w:cs="仿宋_GB2312" w:eastAsia="仿宋_GB2312"/>
                      <w:sz w:val="21"/>
                    </w:rPr>
                    <w:t>亮度</w:t>
                  </w:r>
                  <w:r>
                    <w:rPr>
                      <w:rFonts w:ascii="仿宋_GB2312" w:hAnsi="仿宋_GB2312" w:cs="仿宋_GB2312" w:eastAsia="仿宋_GB2312"/>
                      <w:sz w:val="21"/>
                    </w:rPr>
                    <w:t>≥6600流明，分辨率</w:t>
                  </w:r>
                  <w:r>
                    <w:rPr>
                      <w:rFonts w:ascii="仿宋_GB2312" w:hAnsi="仿宋_GB2312" w:cs="仿宋_GB2312" w:eastAsia="仿宋_GB2312"/>
                      <w:sz w:val="21"/>
                    </w:rPr>
                    <w:t>≥</w:t>
                  </w:r>
                  <w:r>
                    <w:rPr>
                      <w:rFonts w:ascii="仿宋_GB2312" w:hAnsi="仿宋_GB2312" w:cs="仿宋_GB2312" w:eastAsia="仿宋_GB2312"/>
                      <w:sz w:val="21"/>
                    </w:rPr>
                    <w:t>1920*1200，动态对比度≥5000000:1；</w:t>
                  </w:r>
                  <w:r>
                    <w:br/>
                  </w:r>
                  <w:r>
                    <w:rPr>
                      <w:rFonts w:ascii="仿宋_GB2312" w:hAnsi="仿宋_GB2312" w:cs="仿宋_GB2312" w:eastAsia="仿宋_GB2312"/>
                      <w:sz w:val="21"/>
                    </w:rPr>
                    <w:t>芯片尺寸支持</w:t>
                  </w:r>
                  <w:r>
                    <w:rPr>
                      <w:rFonts w:ascii="仿宋_GB2312" w:hAnsi="仿宋_GB2312" w:cs="仿宋_GB2312" w:eastAsia="仿宋_GB2312"/>
                      <w:sz w:val="21"/>
                    </w:rPr>
                    <w:t>0.64英寸</w:t>
                  </w:r>
                  <w:r>
                    <w:rPr>
                      <w:rFonts w:ascii="仿宋_GB2312" w:hAnsi="仿宋_GB2312" w:cs="仿宋_GB2312" w:eastAsia="仿宋_GB2312"/>
                      <w:sz w:val="21"/>
                    </w:rPr>
                    <w:t>×</w:t>
                  </w:r>
                  <w:r>
                    <w:rPr>
                      <w:rFonts w:ascii="仿宋_GB2312" w:hAnsi="仿宋_GB2312" w:cs="仿宋_GB2312" w:eastAsia="仿宋_GB2312"/>
                      <w:sz w:val="21"/>
                    </w:rPr>
                    <w:t>3；</w:t>
                  </w:r>
                  <w:r>
                    <w:br/>
                  </w:r>
                  <w:r>
                    <w:rPr>
                      <w:rFonts w:ascii="仿宋_GB2312" w:hAnsi="仿宋_GB2312" w:cs="仿宋_GB2312" w:eastAsia="仿宋_GB2312"/>
                      <w:sz w:val="21"/>
                    </w:rPr>
                    <w:t>镜头投射比</w:t>
                  </w:r>
                  <w:r>
                    <w:rPr>
                      <w:rFonts w:ascii="仿宋_GB2312" w:hAnsi="仿宋_GB2312" w:cs="仿宋_GB2312" w:eastAsia="仿宋_GB2312"/>
                      <w:sz w:val="21"/>
                    </w:rPr>
                    <w:t>1.08-1.76，变焦比1.6；</w:t>
                  </w:r>
                  <w:r>
                    <w:br/>
                  </w:r>
                  <w:r>
                    <w:rPr>
                      <w:rFonts w:ascii="仿宋_GB2312" w:hAnsi="仿宋_GB2312" w:cs="仿宋_GB2312" w:eastAsia="仿宋_GB2312"/>
                      <w:sz w:val="21"/>
                    </w:rPr>
                    <w:t>内置扬声器，支持接口</w:t>
                  </w:r>
                  <w:r>
                    <w:rPr>
                      <w:rFonts w:ascii="仿宋_GB2312" w:hAnsi="仿宋_GB2312" w:cs="仿宋_GB2312" w:eastAsia="仿宋_GB2312"/>
                      <w:sz w:val="21"/>
                    </w:rPr>
                    <w:t>至少满足：</w:t>
                  </w:r>
                  <w:r>
                    <w:rPr>
                      <w:rFonts w:ascii="仿宋_GB2312" w:hAnsi="仿宋_GB2312" w:cs="仿宋_GB2312" w:eastAsia="仿宋_GB2312"/>
                      <w:sz w:val="21"/>
                    </w:rPr>
                    <w:t>2个HDMI，1个HDBaseT，1个RS-232C，1个RJ-45；</w:t>
                  </w:r>
                  <w:r>
                    <w:br/>
                  </w:r>
                  <w:r>
                    <w:rPr>
                      <w:rFonts w:ascii="仿宋_GB2312" w:hAnsi="仿宋_GB2312" w:cs="仿宋_GB2312" w:eastAsia="仿宋_GB2312"/>
                      <w:sz w:val="21"/>
                    </w:rPr>
                    <w:t>亮度支持无极调整；</w:t>
                  </w:r>
                  <w:r>
                    <w:br/>
                  </w:r>
                  <w:r>
                    <w:rPr>
                      <w:rFonts w:ascii="仿宋_GB2312" w:hAnsi="仿宋_GB2312" w:cs="仿宋_GB2312" w:eastAsia="仿宋_GB2312"/>
                      <w:sz w:val="21"/>
                    </w:rPr>
                    <w:t>应该含配套短焦镜头及配套吊装支架。</w:t>
                  </w:r>
                  <w:r>
                    <w:br/>
                  </w:r>
                  <w:r>
                    <w:rPr>
                      <w:rFonts w:ascii="仿宋_GB2312" w:hAnsi="仿宋_GB2312" w:cs="仿宋_GB2312" w:eastAsia="仿宋_GB2312"/>
                      <w:sz w:val="21"/>
                    </w:rPr>
                    <w:t>光子屏</w:t>
                  </w:r>
                  <w:r>
                    <w:rPr>
                      <w:rFonts w:ascii="仿宋_GB2312" w:hAnsi="仿宋_GB2312" w:cs="仿宋_GB2312" w:eastAsia="仿宋_GB2312"/>
                      <w:sz w:val="21"/>
                    </w:rPr>
                    <w:t>UTD透明投影膜透光率(85±2) % ，可视角大于150°。</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播放主机</w:t>
                  </w:r>
                  <w:r>
                    <w:rPr>
                      <w:rFonts w:ascii="仿宋_GB2312" w:hAnsi="仿宋_GB2312" w:cs="仿宋_GB2312" w:eastAsia="仿宋_GB2312"/>
                      <w:sz w:val="21"/>
                    </w:rPr>
                    <w:t>，</w:t>
                  </w:r>
                  <w:r>
                    <w:rPr>
                      <w:rFonts w:ascii="仿宋_GB2312" w:hAnsi="仿宋_GB2312" w:cs="仿宋_GB2312" w:eastAsia="仿宋_GB2312"/>
                      <w:sz w:val="21"/>
                    </w:rPr>
                    <w:t>参数</w:t>
                  </w:r>
                  <w:r>
                    <w:rPr>
                      <w:rFonts w:ascii="仿宋_GB2312" w:hAnsi="仿宋_GB2312" w:cs="仿宋_GB2312" w:eastAsia="仿宋_GB2312"/>
                      <w:sz w:val="21"/>
                    </w:rPr>
                    <w:t>不低于以下要求</w:t>
                  </w:r>
                  <w:r>
                    <w:rPr>
                      <w:rFonts w:ascii="仿宋_GB2312" w:hAnsi="仿宋_GB2312" w:cs="仿宋_GB2312" w:eastAsia="仿宋_GB2312"/>
                      <w:sz w:val="21"/>
                    </w:rPr>
                    <w:t>：</w:t>
                  </w:r>
                  <w:r>
                    <w:rPr>
                      <w:rFonts w:ascii="仿宋_GB2312" w:hAnsi="仿宋_GB2312" w:cs="仿宋_GB2312" w:eastAsia="仿宋_GB2312"/>
                      <w:sz w:val="21"/>
                    </w:rPr>
                    <w:t>8核16线程；16GB DDR4内存；512G-PCIE4.0固态硬盘；显存容量≥6GB</w:t>
                  </w:r>
                  <w:r>
                    <w:rPr>
                      <w:rFonts w:ascii="仿宋_GB2312" w:hAnsi="仿宋_GB2312" w:cs="仿宋_GB2312" w:eastAsia="仿宋_GB2312"/>
                      <w:sz w:val="21"/>
                    </w:rPr>
                    <w:t>，</w:t>
                  </w:r>
                  <w:r>
                    <w:rPr>
                      <w:rFonts w:ascii="仿宋_GB2312" w:hAnsi="仿宋_GB2312" w:cs="仿宋_GB2312" w:eastAsia="仿宋_GB2312"/>
                      <w:sz w:val="21"/>
                    </w:rPr>
                    <w:t>显存类型</w:t>
                  </w:r>
                  <w:r>
                    <w:rPr>
                      <w:rFonts w:ascii="仿宋_GB2312" w:hAnsi="仿宋_GB2312" w:cs="仿宋_GB2312" w:eastAsia="仿宋_GB2312"/>
                      <w:sz w:val="21"/>
                    </w:rPr>
                    <w:t>GDDR5及以上配置；配套操作系统。</w:t>
                  </w:r>
                  <w:r>
                    <w:br/>
                  </w:r>
                  <w:r>
                    <w:rPr>
                      <w:rFonts w:ascii="仿宋_GB2312" w:hAnsi="仿宋_GB2312" w:cs="仿宋_GB2312" w:eastAsia="仿宋_GB2312"/>
                      <w:sz w:val="21"/>
                    </w:rPr>
                    <w:t>2、86寸触摸屏</w:t>
                  </w:r>
                  <w:r>
                    <w:br/>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3840×2160；支持无线Wi-Fi及蓝牙；双声道扬声器，自带摄像头，支持阵列麦克风拾音，拾音角度0°-180°；</w:t>
                  </w:r>
                  <w:r>
                    <w:br/>
                  </w:r>
                  <w:r>
                    <w:rPr>
                      <w:rFonts w:ascii="仿宋_GB2312" w:hAnsi="仿宋_GB2312" w:cs="仿宋_GB2312" w:eastAsia="仿宋_GB2312"/>
                      <w:sz w:val="21"/>
                    </w:rPr>
                    <w:t>采用红外触控，触摸分辨率达到</w:t>
                  </w:r>
                  <w:r>
                    <w:rPr>
                      <w:rFonts w:ascii="仿宋_GB2312" w:hAnsi="仿宋_GB2312" w:cs="仿宋_GB2312" w:eastAsia="仿宋_GB2312"/>
                      <w:sz w:val="21"/>
                    </w:rPr>
                    <w:t>32767×32767；支持3mm/8mm双笔书写，书写精度可达±1mm（90%以上触摸区域）；</w:t>
                  </w:r>
                  <w:r>
                    <w:rPr>
                      <w:rFonts w:ascii="仿宋_GB2312" w:hAnsi="仿宋_GB2312" w:cs="仿宋_GB2312" w:eastAsia="仿宋_GB2312"/>
                      <w:sz w:val="21"/>
                    </w:rPr>
                    <w:t>终端</w:t>
                  </w:r>
                  <w:r>
                    <w:rPr>
                      <w:rFonts w:ascii="仿宋_GB2312" w:hAnsi="仿宋_GB2312" w:cs="仿宋_GB2312" w:eastAsia="仿宋_GB2312"/>
                      <w:sz w:val="21"/>
                    </w:rPr>
                    <w:t>配置不低于</w:t>
                  </w:r>
                  <w:r>
                    <w:rPr>
                      <w:rFonts w:ascii="仿宋_GB2312" w:hAnsi="仿宋_GB2312" w:cs="仿宋_GB2312" w:eastAsia="仿宋_GB2312"/>
                      <w:sz w:val="21"/>
                    </w:rPr>
                    <w:t>6核</w:t>
                  </w:r>
                  <w:r>
                    <w:rPr>
                      <w:rFonts w:ascii="仿宋_GB2312" w:hAnsi="仿宋_GB2312" w:cs="仿宋_GB2312" w:eastAsia="仿宋_GB2312"/>
                      <w:sz w:val="21"/>
                    </w:rPr>
                    <w:t>心</w:t>
                  </w:r>
                  <w:r>
                    <w:rPr>
                      <w:rFonts w:ascii="仿宋_GB2312" w:hAnsi="仿宋_GB2312" w:cs="仿宋_GB2312" w:eastAsia="仿宋_GB2312"/>
                      <w:sz w:val="21"/>
                    </w:rPr>
                    <w:t>12线程/8G/128G SSD；配套前维护支架。</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一层家具及交互设备</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打造参观休息体验区，包括休息座椅及交互设备。</w:t>
                  </w:r>
                  <w:r>
                    <w:br/>
                  </w:r>
                  <w:r>
                    <w:rPr>
                      <w:rFonts w:ascii="仿宋_GB2312" w:hAnsi="仿宋_GB2312" w:cs="仿宋_GB2312" w:eastAsia="仿宋_GB2312"/>
                      <w:sz w:val="21"/>
                    </w:rPr>
                    <w:t>1、4个单人沙发或2套双人沙发；</w:t>
                  </w:r>
                  <w:r>
                    <w:br/>
                  </w:r>
                  <w:r>
                    <w:rPr>
                      <w:rFonts w:ascii="仿宋_GB2312" w:hAnsi="仿宋_GB2312" w:cs="仿宋_GB2312" w:eastAsia="仿宋_GB2312"/>
                      <w:sz w:val="21"/>
                    </w:rPr>
                    <w:t>2、43寸电容触摸茶几1个，采用多媒体智能高清防水互动触摸桌、</w:t>
                  </w:r>
                  <w:r>
                    <w:rPr>
                      <w:rFonts w:ascii="仿宋_GB2312" w:hAnsi="仿宋_GB2312" w:cs="仿宋_GB2312" w:eastAsia="仿宋_GB2312"/>
                      <w:sz w:val="21"/>
                    </w:rPr>
                    <w:t>正版操作系统</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1920*1080，内置音箱，支持外接耳机。</w:t>
                  </w:r>
                  <w:r>
                    <w:br/>
                  </w:r>
                  <w:r>
                    <w:rPr>
                      <w:rFonts w:ascii="仿宋_GB2312" w:hAnsi="仿宋_GB2312" w:cs="仿宋_GB2312" w:eastAsia="仿宋_GB2312"/>
                      <w:sz w:val="21"/>
                    </w:rPr>
                    <w:t>3、配套4副头戴式耳机、1个1分4音频分配器。</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研讨屏幕</w:t>
                  </w:r>
                  <w:r>
                    <w:rPr>
                      <w:rFonts w:ascii="仿宋_GB2312" w:hAnsi="仿宋_GB2312" w:cs="仿宋_GB2312" w:eastAsia="仿宋_GB2312"/>
                      <w:sz w:val="21"/>
                      <w:b/>
                    </w:rPr>
                    <w:t>（</w:t>
                  </w:r>
                  <w:r>
                    <w:rPr>
                      <w:rFonts w:ascii="仿宋_GB2312" w:hAnsi="仿宋_GB2312" w:cs="仿宋_GB2312" w:eastAsia="仿宋_GB2312"/>
                      <w:sz w:val="21"/>
                      <w:b/>
                    </w:rPr>
                    <w:t>提供佐证材料）</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用以四楼及五楼研讨空间使用的电子屏幕。</w:t>
                  </w:r>
                  <w:r>
                    <w:br/>
                  </w:r>
                  <w:r>
                    <w:rPr>
                      <w:rFonts w:ascii="仿宋_GB2312" w:hAnsi="仿宋_GB2312" w:cs="仿宋_GB2312" w:eastAsia="仿宋_GB2312"/>
                      <w:sz w:val="21"/>
                    </w:rPr>
                    <w:t>100寸研讨交互显示屏1台（支持无线联网，支持电子白板）、7200M无线路由器1台。</w:t>
                  </w:r>
                  <w:r>
                    <w:br/>
                  </w:r>
                  <w:r>
                    <w:rPr>
                      <w:rFonts w:ascii="仿宋_GB2312" w:hAnsi="仿宋_GB2312" w:cs="仿宋_GB2312" w:eastAsia="仿宋_GB2312"/>
                      <w:sz w:val="21"/>
                    </w:rPr>
                    <w:t>86寸研讨交互显示屏2台（支持无线联网，支持电子白板）、7200M无线路由器2台。</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创作空间配套桌椅</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书法空间配备沙发组合（</w:t>
                  </w:r>
                  <w:r>
                    <w:rPr>
                      <w:rFonts w:ascii="仿宋_GB2312" w:hAnsi="仿宋_GB2312" w:cs="仿宋_GB2312" w:eastAsia="仿宋_GB2312"/>
                      <w:sz w:val="21"/>
                    </w:rPr>
                    <w:t>8人位含小茶几），戏曲及影视研讨空间配备合计20个椅子（椅子需自带写字板）</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冷暖设备</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书法创作空间配备</w:t>
                  </w:r>
                  <w:r>
                    <w:rPr>
                      <w:rFonts w:ascii="仿宋_GB2312" w:hAnsi="仿宋_GB2312" w:cs="仿宋_GB2312" w:eastAsia="仿宋_GB2312"/>
                      <w:sz w:val="21"/>
                    </w:rPr>
                    <w:t>2台2P</w:t>
                  </w:r>
                  <w:r>
                    <w:rPr>
                      <w:rFonts w:ascii="仿宋_GB2312" w:hAnsi="仿宋_GB2312" w:cs="仿宋_GB2312" w:eastAsia="仿宋_GB2312"/>
                      <w:sz w:val="21"/>
                    </w:rPr>
                    <w:t>冷暖设备</w:t>
                  </w:r>
                  <w:r>
                    <w:rPr>
                      <w:rFonts w:ascii="仿宋_GB2312" w:hAnsi="仿宋_GB2312" w:cs="仿宋_GB2312" w:eastAsia="仿宋_GB2312"/>
                      <w:sz w:val="21"/>
                    </w:rPr>
                    <w:t>，戏曲研讨室及影视研讨室各</w:t>
                  </w:r>
                  <w:r>
                    <w:rPr>
                      <w:rFonts w:ascii="仿宋_GB2312" w:hAnsi="仿宋_GB2312" w:cs="仿宋_GB2312" w:eastAsia="仿宋_GB2312"/>
                      <w:sz w:val="21"/>
                    </w:rPr>
                    <w:t>1台2P</w:t>
                  </w:r>
                  <w:r>
                    <w:rPr>
                      <w:rFonts w:ascii="仿宋_GB2312" w:hAnsi="仿宋_GB2312" w:cs="仿宋_GB2312" w:eastAsia="仿宋_GB2312"/>
                      <w:sz w:val="21"/>
                    </w:rPr>
                    <w:t>冷暖设备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大模型应用体验设备</w:t>
                  </w:r>
                  <w:r>
                    <w:rPr>
                      <w:rFonts w:ascii="仿宋_GB2312" w:hAnsi="仿宋_GB2312" w:cs="仿宋_GB2312" w:eastAsia="仿宋_GB2312"/>
                      <w:sz w:val="21"/>
                      <w:b/>
                    </w:rPr>
                    <w:t>（</w:t>
                  </w:r>
                  <w:r>
                    <w:rPr>
                      <w:rFonts w:ascii="仿宋_GB2312" w:hAnsi="仿宋_GB2312" w:cs="仿宋_GB2312" w:eastAsia="仿宋_GB2312"/>
                      <w:sz w:val="21"/>
                      <w:b/>
                    </w:rPr>
                    <w:t>提供佐证材料）</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主要用于体验</w:t>
                  </w:r>
                  <w:r>
                    <w:rPr>
                      <w:rFonts w:ascii="仿宋_GB2312" w:hAnsi="仿宋_GB2312" w:cs="仿宋_GB2312" w:eastAsia="仿宋_GB2312"/>
                      <w:sz w:val="21"/>
                    </w:rPr>
                    <w:t>AI+文艺活化的体验和交互。</w:t>
                  </w:r>
                  <w:r>
                    <w:br/>
                  </w:r>
                  <w:r>
                    <w:rPr>
                      <w:rFonts w:ascii="仿宋_GB2312" w:hAnsi="仿宋_GB2312" w:cs="仿宋_GB2312" w:eastAsia="仿宋_GB2312"/>
                      <w:sz w:val="21"/>
                    </w:rPr>
                    <w:t>设备参数要求</w:t>
                  </w:r>
                  <w:r>
                    <w:rPr>
                      <w:rFonts w:ascii="仿宋_GB2312" w:hAnsi="仿宋_GB2312" w:cs="仿宋_GB2312" w:eastAsia="仿宋_GB2312"/>
                      <w:sz w:val="21"/>
                    </w:rPr>
                    <w:t>：</w:t>
                  </w:r>
                  <w:r>
                    <w:br/>
                  </w:r>
                  <w:r>
                    <w:rPr>
                      <w:rFonts w:ascii="仿宋_GB2312" w:hAnsi="仿宋_GB2312" w:cs="仿宋_GB2312" w:eastAsia="仿宋_GB2312"/>
                      <w:sz w:val="21"/>
                    </w:rPr>
                    <w:t>显示设备采用</w:t>
                  </w:r>
                  <w:r>
                    <w:rPr>
                      <w:rFonts w:ascii="仿宋_GB2312" w:hAnsi="仿宋_GB2312" w:cs="仿宋_GB2312" w:eastAsia="仿宋_GB2312"/>
                      <w:sz w:val="21"/>
                    </w:rPr>
                    <w:t>≥55英寸落地式触摸屏，内存≥8Gb+256Gb，支持USB扩展、支持wifi；配套4K摄像机，可移动</w:t>
                  </w:r>
                  <w:r>
                    <w:rPr>
                      <w:rFonts w:ascii="仿宋_GB2312" w:hAnsi="仿宋_GB2312" w:cs="仿宋_GB2312" w:eastAsia="仿宋_GB2312"/>
                      <w:sz w:val="21"/>
                    </w:rPr>
                    <w:t>，</w:t>
                  </w:r>
                  <w:r>
                    <w:rPr>
                      <w:rFonts w:ascii="仿宋_GB2312" w:hAnsi="仿宋_GB2312" w:cs="仿宋_GB2312" w:eastAsia="仿宋_GB2312"/>
                      <w:sz w:val="21"/>
                    </w:rPr>
                    <w:t>共配置</w:t>
                  </w:r>
                  <w:r>
                    <w:rPr>
                      <w:rFonts w:ascii="仿宋_GB2312" w:hAnsi="仿宋_GB2312" w:cs="仿宋_GB2312" w:eastAsia="仿宋_GB2312"/>
                      <w:sz w:val="21"/>
                    </w:rPr>
                    <w:t>2套。</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大模型应用体验系统</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通过调用大模型能力支持进行文艺活化场景打造，探索通过</w:t>
                  </w:r>
                  <w:r>
                    <w:rPr>
                      <w:rFonts w:ascii="仿宋_GB2312" w:hAnsi="仿宋_GB2312" w:cs="仿宋_GB2312" w:eastAsia="仿宋_GB2312"/>
                      <w:sz w:val="21"/>
                    </w:rPr>
                    <w:t>AI手绘、AI换脸、文生视频等方式打造艺术活化体验，支持二维码扫描下载图片与视频。调用的大模型应该通过备案。</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254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配套</w:t>
                  </w:r>
                  <w:r>
                    <w:rPr>
                      <w:rFonts w:ascii="仿宋_GB2312" w:hAnsi="仿宋_GB2312" w:cs="仿宋_GB2312" w:eastAsia="仿宋_GB2312"/>
                      <w:sz w:val="21"/>
                      <w:b/>
                    </w:rPr>
                    <w:t>线上服务</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线上服务系统</w:t>
                  </w:r>
                </w:p>
              </w:tc>
              <w:tc>
                <w:tcPr>
                  <w:tcW w:type="dxa" w:w="16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构建线上服务系统，通过小程序、</w:t>
                  </w:r>
                  <w:r>
                    <w:rPr>
                      <w:rFonts w:ascii="仿宋_GB2312" w:hAnsi="仿宋_GB2312" w:cs="仿宋_GB2312" w:eastAsia="仿宋_GB2312"/>
                      <w:sz w:val="21"/>
                    </w:rPr>
                    <w:t>H5等形式进行打造，支持与单位公众号跳转，支持与区域主流文旅对客服务平台进行对接交互</w:t>
                  </w:r>
                  <w:r>
                    <w:rPr>
                      <w:rFonts w:ascii="仿宋_GB2312" w:hAnsi="仿宋_GB2312" w:cs="仿宋_GB2312" w:eastAsia="仿宋_GB2312"/>
                      <w:sz w:val="21"/>
                    </w:rPr>
                    <w:t>，</w:t>
                  </w:r>
                  <w:r>
                    <w:rPr>
                      <w:rFonts w:ascii="仿宋_GB2312" w:hAnsi="仿宋_GB2312" w:cs="仿宋_GB2312" w:eastAsia="仿宋_GB2312"/>
                      <w:sz w:val="21"/>
                    </w:rPr>
                    <w:t>支持预约数据统计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核心功能：可进行线上预约及核验服务</w:t>
                  </w:r>
                  <w:r>
                    <w:rPr>
                      <w:rFonts w:ascii="仿宋_GB2312" w:hAnsi="仿宋_GB2312" w:cs="仿宋_GB2312" w:eastAsia="仿宋_GB2312"/>
                      <w:sz w:val="21"/>
                      <w:b/>
                    </w:rPr>
                    <w:t>（提供实现该功能的软件功能截图或权属文件证明，并加盖厂家公章）</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支持进行线上展示各类线下展厅内容，支持进行图片、视频、文字等内容的更换调整；</w:t>
                  </w:r>
                  <w:r>
                    <w:br/>
                  </w:r>
                  <w:r>
                    <w:rPr>
                      <w:rFonts w:ascii="仿宋_GB2312" w:hAnsi="仿宋_GB2312" w:cs="仿宋_GB2312" w:eastAsia="仿宋_GB2312"/>
                      <w:sz w:val="21"/>
                    </w:rPr>
                    <w:t>3.</w:t>
                  </w:r>
                  <w:r>
                    <w:rPr>
                      <w:rFonts w:ascii="仿宋_GB2312" w:hAnsi="仿宋_GB2312" w:cs="仿宋_GB2312" w:eastAsia="仿宋_GB2312"/>
                      <w:sz w:val="21"/>
                    </w:rPr>
                    <w:t>预约</w:t>
                  </w:r>
                  <w:r>
                    <w:rPr>
                      <w:rFonts w:ascii="仿宋_GB2312" w:hAnsi="仿宋_GB2312" w:cs="仿宋_GB2312" w:eastAsia="仿宋_GB2312"/>
                      <w:sz w:val="21"/>
                    </w:rPr>
                    <w:t>功能要求：包含</w:t>
                  </w:r>
                  <w:r>
                    <w:rPr>
                      <w:rFonts w:ascii="仿宋_GB2312" w:hAnsi="仿宋_GB2312" w:cs="仿宋_GB2312" w:eastAsia="仿宋_GB2312"/>
                      <w:sz w:val="21"/>
                    </w:rPr>
                    <w:t>调阅馆藏内容</w:t>
                  </w:r>
                  <w:r>
                    <w:rPr>
                      <w:rFonts w:ascii="仿宋_GB2312" w:hAnsi="仿宋_GB2312" w:cs="仿宋_GB2312" w:eastAsia="仿宋_GB2312"/>
                      <w:sz w:val="21"/>
                    </w:rPr>
                    <w:t>、</w:t>
                  </w:r>
                  <w:r>
                    <w:rPr>
                      <w:rFonts w:ascii="仿宋_GB2312" w:hAnsi="仿宋_GB2312" w:cs="仿宋_GB2312" w:eastAsia="仿宋_GB2312"/>
                      <w:sz w:val="21"/>
                    </w:rPr>
                    <w:t>来访</w:t>
                  </w:r>
                  <w:r>
                    <w:rPr>
                      <w:rFonts w:ascii="仿宋_GB2312" w:hAnsi="仿宋_GB2312" w:cs="仿宋_GB2312" w:eastAsia="仿宋_GB2312"/>
                      <w:sz w:val="21"/>
                    </w:rPr>
                    <w:t>或参观</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展览内容管理：后台可以灵活调整展示内容，适配不同系统；支持展示内容分类。</w:t>
                  </w:r>
                </w:p>
              </w:tc>
              <w:tc>
                <w:tcPr>
                  <w:tcW w:type="dxa" w:w="2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数字化展示</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数字化展示及控制系统，配合各个展示屏定制化线上数字化展示内容系统，支持呈现互动、展示一体的交互系统工具；</w:t>
                  </w:r>
                  <w:r>
                    <w:br/>
                  </w:r>
                  <w:r>
                    <w:rPr>
                      <w:rFonts w:ascii="仿宋_GB2312" w:hAnsi="仿宋_GB2312" w:cs="仿宋_GB2312" w:eastAsia="仿宋_GB2312"/>
                      <w:sz w:val="21"/>
                    </w:rPr>
                    <w:t>例如：手抄本的线上数字化展示，设置可以翻页的手抄本体验、展示数字化之后的剧本内容。</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影视</w:t>
                  </w:r>
                  <w:r>
                    <w:rPr>
                      <w:rFonts w:ascii="仿宋_GB2312" w:hAnsi="仿宋_GB2312" w:cs="仿宋_GB2312" w:eastAsia="仿宋_GB2312"/>
                      <w:sz w:val="21"/>
                    </w:rPr>
                    <w:t>研讨</w:t>
                  </w:r>
                  <w:r>
                    <w:rPr>
                      <w:rFonts w:ascii="仿宋_GB2312" w:hAnsi="仿宋_GB2312" w:cs="仿宋_GB2312" w:eastAsia="仿宋_GB2312"/>
                      <w:sz w:val="21"/>
                    </w:rPr>
                    <w:t>配套</w:t>
                  </w:r>
                </w:p>
              </w:tc>
              <w:tc>
                <w:tcPr>
                  <w:tcW w:type="dxa" w:w="16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三年影视</w:t>
                  </w:r>
                  <w:r>
                    <w:rPr>
                      <w:rFonts w:ascii="仿宋_GB2312" w:hAnsi="仿宋_GB2312" w:cs="仿宋_GB2312" w:eastAsia="仿宋_GB2312"/>
                      <w:sz w:val="21"/>
                    </w:rPr>
                    <w:t>研讨所需</w:t>
                  </w:r>
                  <w:r>
                    <w:rPr>
                      <w:rFonts w:ascii="仿宋_GB2312" w:hAnsi="仿宋_GB2312" w:cs="仿宋_GB2312" w:eastAsia="仿宋_GB2312"/>
                      <w:sz w:val="21"/>
                    </w:rPr>
                    <w:t>的互联网平台（爱奇艺、腾讯视频等</w:t>
                  </w:r>
                  <w:r>
                    <w:rPr>
                      <w:rFonts w:ascii="仿宋_GB2312" w:hAnsi="仿宋_GB2312" w:cs="仿宋_GB2312" w:eastAsia="仿宋_GB2312"/>
                      <w:sz w:val="21"/>
                    </w:rPr>
                    <w:t>3个主流平台）账号配套，提供对应平台一个账号的VIP权限。</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bl>
          <w:p>
            <w:pPr>
              <w:pStyle w:val="null3"/>
              <w:jc w:val="both"/>
            </w:pPr>
            <w:r>
              <w:rPr>
                <w:rFonts w:ascii="仿宋_GB2312" w:hAnsi="仿宋_GB2312" w:cs="仿宋_GB2312" w:eastAsia="仿宋_GB2312"/>
                <w:sz w:val="24"/>
                <w:b/>
              </w:rPr>
              <w:t>（二）展陈及宣传配合要求</w:t>
            </w:r>
          </w:p>
          <w:p>
            <w:pPr>
              <w:pStyle w:val="null3"/>
              <w:ind w:firstLine="480"/>
            </w:pPr>
            <w:r>
              <w:rPr>
                <w:rFonts w:ascii="仿宋_GB2312" w:hAnsi="仿宋_GB2312" w:cs="仿宋_GB2312" w:eastAsia="仿宋_GB2312"/>
                <w:sz w:val="24"/>
              </w:rPr>
              <w:t>配合采购人对现场布展的上架布展，按照采购人的指导与建议调整现场布展内容；</w:t>
            </w:r>
          </w:p>
          <w:p>
            <w:pPr>
              <w:pStyle w:val="null3"/>
              <w:ind w:firstLine="480"/>
            </w:pPr>
            <w:r>
              <w:rPr>
                <w:rFonts w:ascii="仿宋_GB2312" w:hAnsi="仿宋_GB2312" w:cs="仿宋_GB2312" w:eastAsia="仿宋_GB2312"/>
                <w:sz w:val="24"/>
              </w:rPr>
              <w:t>配合</w:t>
            </w:r>
            <w:r>
              <w:rPr>
                <w:rFonts w:ascii="仿宋_GB2312" w:hAnsi="仿宋_GB2312" w:cs="仿宋_GB2312" w:eastAsia="仿宋_GB2312"/>
                <w:sz w:val="24"/>
              </w:rPr>
              <w:t>采购人单位活动期间制定宣传工作方案；</w:t>
            </w:r>
          </w:p>
          <w:p>
            <w:pPr>
              <w:pStyle w:val="null3"/>
              <w:ind w:firstLine="480"/>
            </w:pPr>
            <w:r>
              <w:rPr>
                <w:rFonts w:ascii="仿宋_GB2312" w:hAnsi="仿宋_GB2312" w:cs="仿宋_GB2312" w:eastAsia="仿宋_GB2312"/>
                <w:sz w:val="24"/>
              </w:rPr>
              <w:t>配合采购人协调相关媒体资源，</w:t>
            </w:r>
            <w:r>
              <w:rPr>
                <w:rFonts w:ascii="仿宋_GB2312" w:hAnsi="仿宋_GB2312" w:cs="仿宋_GB2312" w:eastAsia="仿宋_GB2312"/>
                <w:sz w:val="24"/>
              </w:rPr>
              <w:t>包括</w:t>
            </w:r>
            <w:r>
              <w:rPr>
                <w:rFonts w:ascii="仿宋_GB2312" w:hAnsi="仿宋_GB2312" w:cs="仿宋_GB2312" w:eastAsia="仿宋_GB2312"/>
                <w:sz w:val="24"/>
              </w:rPr>
              <w:t>但不限于</w:t>
            </w:r>
            <w:r>
              <w:rPr>
                <w:rFonts w:ascii="仿宋_GB2312" w:hAnsi="仿宋_GB2312" w:cs="仿宋_GB2312" w:eastAsia="仿宋_GB2312"/>
                <w:sz w:val="24"/>
              </w:rPr>
              <w:t>网络直播</w:t>
            </w:r>
            <w:r>
              <w:rPr>
                <w:rFonts w:ascii="仿宋_GB2312" w:hAnsi="仿宋_GB2312" w:cs="仿宋_GB2312" w:eastAsia="仿宋_GB2312"/>
                <w:sz w:val="24"/>
              </w:rPr>
              <w:t>、</w:t>
            </w:r>
            <w:r>
              <w:rPr>
                <w:rFonts w:ascii="仿宋_GB2312" w:hAnsi="仿宋_GB2312" w:cs="仿宋_GB2312" w:eastAsia="仿宋_GB2312"/>
                <w:sz w:val="24"/>
              </w:rPr>
              <w:t>海报</w:t>
            </w:r>
            <w:r>
              <w:rPr>
                <w:rFonts w:ascii="仿宋_GB2312" w:hAnsi="仿宋_GB2312" w:cs="仿宋_GB2312" w:eastAsia="仿宋_GB2312"/>
                <w:sz w:val="24"/>
              </w:rPr>
              <w:t>、视频、图文等形式及多种创意方式，配合在有关主流媒体平台进行展示，</w:t>
            </w:r>
            <w:r>
              <w:rPr>
                <w:rFonts w:ascii="仿宋_GB2312" w:hAnsi="仿宋_GB2312" w:cs="仿宋_GB2312" w:eastAsia="仿宋_GB2312"/>
                <w:sz w:val="24"/>
              </w:rPr>
              <w:t>提高</w:t>
            </w:r>
            <w:r>
              <w:rPr>
                <w:rFonts w:ascii="仿宋_GB2312" w:hAnsi="仿宋_GB2312" w:cs="仿宋_GB2312" w:eastAsia="仿宋_GB2312"/>
                <w:sz w:val="24"/>
              </w:rPr>
              <w:t>珍贵艺术资源及艺术空间展出</w:t>
            </w:r>
            <w:r>
              <w:rPr>
                <w:rFonts w:ascii="仿宋_GB2312" w:hAnsi="仿宋_GB2312" w:cs="仿宋_GB2312" w:eastAsia="仿宋_GB2312"/>
                <w:sz w:val="24"/>
              </w:rPr>
              <w:t>的知晓度和影响力</w:t>
            </w:r>
            <w:r>
              <w:rPr>
                <w:rFonts w:ascii="仿宋_GB2312" w:hAnsi="仿宋_GB2312" w:cs="仿宋_GB2312" w:eastAsia="仿宋_GB2312"/>
                <w:sz w:val="24"/>
              </w:rPr>
              <w:t>，形成良好舆论氛围，吸引客流线上或线下观展。</w:t>
            </w:r>
          </w:p>
          <w:p>
            <w:pPr>
              <w:pStyle w:val="null3"/>
              <w:ind w:firstLine="480"/>
            </w:pPr>
            <w:r>
              <w:rPr>
                <w:rFonts w:ascii="仿宋_GB2312" w:hAnsi="仿宋_GB2312" w:cs="仿宋_GB2312" w:eastAsia="仿宋_GB2312"/>
                <w:sz w:val="24"/>
                <w:b/>
              </w:rPr>
              <w:t>（三）资料归档</w:t>
            </w:r>
          </w:p>
          <w:p>
            <w:pPr>
              <w:pStyle w:val="null3"/>
              <w:ind w:firstLine="480"/>
            </w:pPr>
            <w:r>
              <w:rPr>
                <w:rFonts w:ascii="仿宋_GB2312" w:hAnsi="仿宋_GB2312" w:cs="仿宋_GB2312" w:eastAsia="仿宋_GB2312"/>
                <w:sz w:val="24"/>
              </w:rPr>
              <w:t>包括项目设计与</w:t>
            </w:r>
            <w:r>
              <w:rPr>
                <w:rFonts w:ascii="仿宋_GB2312" w:hAnsi="仿宋_GB2312" w:cs="仿宋_GB2312" w:eastAsia="仿宋_GB2312"/>
                <w:sz w:val="24"/>
              </w:rPr>
              <w:t>施工</w:t>
            </w:r>
            <w:r>
              <w:rPr>
                <w:rFonts w:ascii="仿宋_GB2312" w:hAnsi="仿宋_GB2312" w:cs="仿宋_GB2312" w:eastAsia="仿宋_GB2312"/>
                <w:sz w:val="24"/>
              </w:rPr>
              <w:t>过程中产生的技术资料和图纸的归档管理，以及文件档案的移交。</w:t>
            </w:r>
          </w:p>
          <w:p>
            <w:pPr>
              <w:pStyle w:val="null3"/>
              <w:ind w:firstLine="480"/>
            </w:pPr>
            <w:r>
              <w:rPr>
                <w:rFonts w:ascii="仿宋_GB2312" w:hAnsi="仿宋_GB2312" w:cs="仿宋_GB2312" w:eastAsia="仿宋_GB2312"/>
                <w:sz w:val="24"/>
                <w:b/>
              </w:rPr>
              <w:t>三、设计要求</w:t>
            </w:r>
          </w:p>
          <w:p>
            <w:pPr>
              <w:pStyle w:val="null3"/>
              <w:ind w:firstLine="480"/>
            </w:pPr>
            <w:r>
              <w:rPr>
                <w:rFonts w:ascii="仿宋_GB2312" w:hAnsi="仿宋_GB2312" w:cs="仿宋_GB2312" w:eastAsia="仿宋_GB2312"/>
                <w:sz w:val="24"/>
              </w:rPr>
              <w:t>本项目不安排现场踏勘，以提供的图纸进行空间深化设计</w:t>
            </w:r>
          </w:p>
          <w:p>
            <w:pPr>
              <w:pStyle w:val="null3"/>
              <w:ind w:firstLine="480"/>
            </w:pPr>
            <w:r>
              <w:rPr>
                <w:rFonts w:ascii="仿宋_GB2312" w:hAnsi="仿宋_GB2312" w:cs="仿宋_GB2312" w:eastAsia="仿宋_GB2312"/>
                <w:sz w:val="24"/>
              </w:rPr>
              <w:t>（一）设计要求如下：</w:t>
            </w:r>
          </w:p>
          <w:p>
            <w:pPr>
              <w:pStyle w:val="null3"/>
              <w:ind w:firstLine="480"/>
            </w:pPr>
            <w:r>
              <w:rPr>
                <w:rFonts w:ascii="仿宋_GB2312" w:hAnsi="仿宋_GB2312" w:cs="仿宋_GB2312" w:eastAsia="仿宋_GB2312"/>
                <w:sz w:val="24"/>
              </w:rPr>
              <w:t>一层活化空间展厅：现场约</w:t>
            </w:r>
            <w:r>
              <w:rPr>
                <w:rFonts w:ascii="仿宋_GB2312" w:hAnsi="仿宋_GB2312" w:cs="仿宋_GB2312" w:eastAsia="仿宋_GB2312"/>
                <w:sz w:val="24"/>
              </w:rPr>
              <w:t>250平米布展空间，用于对艺术活化及内容的展陈展示，设计应该具有艺术及文化风格，本次展示主要以院内收藏的手抄本进行展示为主，设计的空间布局、动线要合理。</w:t>
            </w:r>
          </w:p>
          <w:p>
            <w:pPr>
              <w:pStyle w:val="null3"/>
              <w:ind w:firstLine="480"/>
            </w:pPr>
            <w:r>
              <w:rPr>
                <w:rFonts w:ascii="仿宋_GB2312" w:hAnsi="仿宋_GB2312" w:cs="仿宋_GB2312" w:eastAsia="仿宋_GB2312"/>
                <w:sz w:val="24"/>
              </w:rPr>
              <w:t>四楼书法创作研讨空间：兼具书画创作、学术研讨与接待交流功能，设计体现简约中式文化格调。合理划分创作区与研讨接待区，突出学术性与艺术性。</w:t>
            </w:r>
          </w:p>
          <w:p>
            <w:pPr>
              <w:pStyle w:val="null3"/>
              <w:ind w:firstLine="480"/>
            </w:pPr>
            <w:r>
              <w:rPr>
                <w:rFonts w:ascii="仿宋_GB2312" w:hAnsi="仿宋_GB2312" w:cs="仿宋_GB2312" w:eastAsia="仿宋_GB2312"/>
                <w:sz w:val="24"/>
              </w:rPr>
              <w:t>五层戏曲研讨室：</w:t>
            </w:r>
            <w:r>
              <w:rPr>
                <w:rFonts w:ascii="仿宋_GB2312" w:hAnsi="仿宋_GB2312" w:cs="仿宋_GB2312" w:eastAsia="仿宋_GB2312"/>
                <w:sz w:val="24"/>
              </w:rPr>
              <w:t>用于戏曲体验与学术研讨，营造戏曲文化氛围，兼顾戏曲声学要求与戏曲文化意象表达。设备灵活可调整，适应不同形式的戏曲研讨活动需求。</w:t>
            </w:r>
          </w:p>
          <w:p>
            <w:pPr>
              <w:pStyle w:val="null3"/>
              <w:ind w:firstLine="480"/>
            </w:pPr>
            <w:r>
              <w:rPr>
                <w:rFonts w:ascii="仿宋_GB2312" w:hAnsi="仿宋_GB2312" w:cs="仿宋_GB2312" w:eastAsia="仿宋_GB2312"/>
                <w:sz w:val="24"/>
              </w:rPr>
              <w:t>五层视频研讨室：用于影音放映研讨与学术交流，满足视听环境与研讨要求。配置放映设备及研讨桌椅，适应不同形式的影视研讨活动需求。</w:t>
            </w:r>
          </w:p>
          <w:p>
            <w:pPr>
              <w:pStyle w:val="null3"/>
              <w:ind w:firstLine="480"/>
            </w:pPr>
            <w:r>
              <w:rPr>
                <w:rFonts w:ascii="仿宋_GB2312" w:hAnsi="仿宋_GB2312" w:cs="仿宋_GB2312" w:eastAsia="仿宋_GB2312"/>
                <w:sz w:val="24"/>
              </w:rPr>
              <w:t>（二）现场图纸如下</w:t>
            </w:r>
          </w:p>
          <w:p>
            <w:pPr>
              <w:pStyle w:val="null3"/>
            </w:pPr>
            <w:r>
              <w:drawing>
                <wp:inline distT="0" distR="0" distB="0" distL="0">
                  <wp:extent cx="1621155" cy="104936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621155" cy="1049363"/>
                          </a:xfrm>
                          <a:prstGeom prst="rect">
                            <a:avLst/>
                          </a:prstGeom>
                        </pic:spPr>
                      </pic:pic>
                    </a:graphicData>
                  </a:graphic>
                </wp:inline>
              </w:drawing>
            </w:r>
          </w:p>
          <w:p>
            <w:pPr>
              <w:pStyle w:val="null3"/>
              <w:ind w:firstLine="480"/>
              <w:jc w:val="center"/>
            </w:pPr>
            <w:r>
              <w:rPr>
                <w:rFonts w:ascii="仿宋_GB2312" w:hAnsi="仿宋_GB2312" w:cs="仿宋_GB2312" w:eastAsia="仿宋_GB2312"/>
                <w:sz w:val="24"/>
              </w:rPr>
              <w:t>一层平面示意图</w:t>
            </w:r>
          </w:p>
          <w:p>
            <w:pPr>
              <w:pStyle w:val="null3"/>
            </w:pPr>
            <w:r>
              <w:drawing>
                <wp:inline distT="0" distR="0" distB="0" distL="0">
                  <wp:extent cx="1621155" cy="11358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1621155" cy="1135850"/>
                          </a:xfrm>
                          <a:prstGeom prst="rect">
                            <a:avLst/>
                          </a:prstGeom>
                        </pic:spPr>
                      </pic:pic>
                    </a:graphicData>
                  </a:graphic>
                </wp:inline>
              </w:drawing>
            </w:r>
          </w:p>
          <w:p>
            <w:pPr>
              <w:pStyle w:val="null3"/>
              <w:jc w:val="center"/>
            </w:pPr>
            <w:r>
              <w:rPr>
                <w:rFonts w:ascii="仿宋_GB2312" w:hAnsi="仿宋_GB2312" w:cs="仿宋_GB2312" w:eastAsia="仿宋_GB2312"/>
              </w:rPr>
              <w:t>四层、五层平面图</w:t>
            </w:r>
          </w:p>
          <w:p>
            <w:pPr>
              <w:pStyle w:val="null3"/>
              <w:ind w:firstLine="480"/>
            </w:pPr>
            <w:r>
              <w:rPr>
                <w:rFonts w:ascii="仿宋_GB2312" w:hAnsi="仿宋_GB2312" w:cs="仿宋_GB2312" w:eastAsia="仿宋_GB2312"/>
                <w:sz w:val="24"/>
                <w:b/>
              </w:rPr>
              <w:t>四、安装布展要求</w:t>
            </w:r>
          </w:p>
          <w:p>
            <w:pPr>
              <w:pStyle w:val="null3"/>
              <w:ind w:firstLine="480"/>
            </w:pPr>
            <w:r>
              <w:rPr>
                <w:rFonts w:ascii="仿宋_GB2312" w:hAnsi="仿宋_GB2312" w:cs="仿宋_GB2312" w:eastAsia="仿宋_GB2312"/>
                <w:sz w:val="24"/>
              </w:rPr>
              <w:t>1.环境装饰实施要求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1）结构部分</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①材料、结构和安装方式应满足本项目的要求。</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②布展应确保安全可靠，结构合理达到要求，符合场地结构负荷要求。</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③布展的结构完善应与展示主题以及各展项的展示设计要求相结合。</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④对有声光电展项遮光要求的互动展项。</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⑤对投入使用的展柜要结合展品陈列的需要运用一些保护措施系统，例如专业灯具、锁具、定制配件等。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2）材料部分</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①场地内布展材料的品种、规格、性能应符合国家现行有关标准的规定。</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②严禁使用国家明令淘汰的材料。</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③一律选用符合防火要求的阻燃和难燃材料，按照建筑防火规范选用符合防火等级的材料。</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④材料在</w:t>
            </w:r>
            <w:r>
              <w:rPr>
                <w:rFonts w:ascii="仿宋_GB2312" w:hAnsi="仿宋_GB2312" w:cs="仿宋_GB2312" w:eastAsia="仿宋_GB2312"/>
                <w:sz w:val="24"/>
              </w:rPr>
              <w:t>1</w:t>
            </w:r>
            <w:r>
              <w:rPr>
                <w:rFonts w:ascii="仿宋_GB2312" w:hAnsi="仿宋_GB2312" w:cs="仿宋_GB2312" w:eastAsia="仿宋_GB2312"/>
                <w:sz w:val="24"/>
              </w:rPr>
              <w:t>年内不得出现变质，表面装饰涂覆材料至少</w:t>
            </w:r>
            <w:r>
              <w:rPr>
                <w:rFonts w:ascii="仿宋_GB2312" w:hAnsi="仿宋_GB2312" w:cs="仿宋_GB2312" w:eastAsia="仿宋_GB2312"/>
                <w:sz w:val="24"/>
              </w:rPr>
              <w:t>1</w:t>
            </w:r>
            <w:r>
              <w:rPr>
                <w:rFonts w:ascii="仿宋_GB2312" w:hAnsi="仿宋_GB2312" w:cs="仿宋_GB2312" w:eastAsia="仿宋_GB2312"/>
                <w:sz w:val="24"/>
              </w:rPr>
              <w:t>年内不得出现褪变色。</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⑤使用的各种材料不得对环境和人员造成污染和伤害，其所含有害物质溢出量不能高于国家规定的标准。符合国家有关环保节能标准要求，使用环保节能材料。</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3）电气部分</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①电路走线规范，保证安全距离或设置合乎标准的阻燃隔离层，对走线易损部位采取特别保护措施,线径截面容量满足使用要求。</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②综合布线系统电源、防护及接地的设计要符合 GB/T50311 的规定。</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③布线系统材料应选用相应的阻燃型护套线缆和阻燃型配线设备。</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④配电箱的壳体宜采用A 级材料制作。配电箱不得安装在 B2 级以下（含 B2级）的装修材料上。开关、插座应安装在B1级以上的材料上。</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⑤线路敷设要求美观整齐、合理，原则暗敷，明敷塑料导线应穿管或加线槽板保护， 吊顶内的导线应穿金属管保护，导线不得裸露。</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⑥满足《电气工程安装标准》的规定。</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4）灯光的使用</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①必须运用专业光源，结合整体设计方案的需要达到层次分明，分布合理，效果突出；必须达到使用的照明照度要求。</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②分功能区域、结合使用要求分段设置开关控制，须考虑按照不同使用模式设计控制。</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③使用节能环保、寿命长灯具，从展品保护方面考虑必须使用无紫外线辐射、冷光源的节能灯具，且达到角度可调、方便维护等最低标准。</w:t>
            </w:r>
          </w:p>
          <w:p>
            <w:pPr>
              <w:pStyle w:val="null3"/>
              <w:ind w:firstLine="480"/>
            </w:pPr>
            <w:r>
              <w:rPr>
                <w:rFonts w:ascii="仿宋_GB2312" w:hAnsi="仿宋_GB2312" w:cs="仿宋_GB2312" w:eastAsia="仿宋_GB2312"/>
                <w:sz w:val="24"/>
                <w:b/>
              </w:rPr>
              <w:t>五</w:t>
            </w:r>
            <w:r>
              <w:rPr>
                <w:rFonts w:ascii="仿宋_GB2312" w:hAnsi="仿宋_GB2312" w:cs="仿宋_GB2312" w:eastAsia="仿宋_GB2312"/>
                <w:sz w:val="24"/>
                <w:b/>
              </w:rPr>
              <w:t>、安全文明施工的要求</w:t>
            </w:r>
          </w:p>
          <w:p>
            <w:pPr>
              <w:pStyle w:val="null3"/>
              <w:ind w:firstLine="480"/>
            </w:pPr>
            <w:r>
              <w:rPr>
                <w:rFonts w:ascii="仿宋_GB2312" w:hAnsi="仿宋_GB2312" w:cs="仿宋_GB2312" w:eastAsia="仿宋_GB2312"/>
                <w:sz w:val="24"/>
              </w:rPr>
              <w:t>本项目安全文明施工必须符合国家和项目所在地有关规定和标准。供应商应在不影响正常工作的前提下采取有力措施严格按要求施工，如实在无法避免连续施工的情况，施工时间需服从采购人管理要求，配合采购人事先发布通知，最大限度降低对正常工作的噪声环境影响。</w:t>
            </w:r>
          </w:p>
          <w:p>
            <w:pPr>
              <w:pStyle w:val="null3"/>
              <w:ind w:firstLine="480"/>
            </w:pPr>
            <w:r>
              <w:rPr>
                <w:rFonts w:ascii="仿宋_GB2312" w:hAnsi="仿宋_GB2312" w:cs="仿宋_GB2312" w:eastAsia="仿宋_GB2312"/>
                <w:sz w:val="24"/>
              </w:rPr>
              <w:t>供应商应特别注意扬尘污染控制，其具体措施至少应包括施工现场周边设置硬质围挡，不排除工程车辆在交通沿线设置文施围挡的可能，以隔离办公区；若出现架体搭设占用交通要道情况，需自行协调解决；主要道路要硬化并保持清洁；垃圾、渣土要及时清运，随时保证施工现场干净卫生；施工土方要覆盖；运输车辆驶出施工现场要将车轮和槽帮冲洗干净；水泥、石灰等可能产生扬尘污染的建材必须在库房存放或严密遮盖；严禁凌空抛洒垃圾、渣土，若渣土外运出采购人处，渣土外运措施满足城市管理部门监督管理等等。</w:t>
            </w:r>
          </w:p>
          <w:p>
            <w:pPr>
              <w:pStyle w:val="null3"/>
              <w:ind w:firstLine="480"/>
            </w:pPr>
            <w:r>
              <w:rPr>
                <w:rFonts w:ascii="仿宋_GB2312" w:hAnsi="仿宋_GB2312" w:cs="仿宋_GB2312" w:eastAsia="仿宋_GB2312"/>
                <w:sz w:val="24"/>
                <w:b/>
              </w:rPr>
              <w:t>六</w:t>
            </w:r>
            <w:r>
              <w:rPr>
                <w:rFonts w:ascii="仿宋_GB2312" w:hAnsi="仿宋_GB2312" w:cs="仿宋_GB2312" w:eastAsia="仿宋_GB2312"/>
                <w:sz w:val="24"/>
                <w:b/>
              </w:rPr>
              <w:t>、售后及其他</w:t>
            </w:r>
            <w:r>
              <w:rPr>
                <w:rFonts w:ascii="仿宋_GB2312" w:hAnsi="仿宋_GB2312" w:cs="仿宋_GB2312" w:eastAsia="仿宋_GB2312"/>
                <w:sz w:val="24"/>
                <w:b/>
              </w:rPr>
              <w:t>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项目整体提供保修和服务</w:t>
            </w:r>
            <w:r>
              <w:rPr>
                <w:rFonts w:ascii="仿宋_GB2312" w:hAnsi="仿宋_GB2312" w:cs="仿宋_GB2312" w:eastAsia="仿宋_GB2312"/>
                <w:sz w:val="24"/>
              </w:rPr>
              <w:t>1年。</w:t>
            </w:r>
            <w:r>
              <w:rPr>
                <w:rFonts w:ascii="仿宋_GB2312" w:hAnsi="仿宋_GB2312" w:cs="仿宋_GB2312" w:eastAsia="仿宋_GB2312"/>
                <w:sz w:val="24"/>
              </w:rPr>
              <w:t>提供</w:t>
            </w:r>
            <w:r>
              <w:rPr>
                <w:rFonts w:ascii="仿宋_GB2312" w:hAnsi="仿宋_GB2312" w:cs="仿宋_GB2312" w:eastAsia="仿宋_GB2312"/>
                <w:sz w:val="24"/>
              </w:rPr>
              <w:t>7*24 小时售后服务热线电话，确保产品发生故障时 1 小时内技术响应，4小时内到达维修现场，保证设备正常运行；在 24 小时之内到达现场予以解决或提供备用产品更换，不影响设备正常工作。</w:t>
            </w:r>
          </w:p>
          <w:p>
            <w:pPr>
              <w:pStyle w:val="null3"/>
              <w:ind w:firstLine="480"/>
            </w:pPr>
            <w:r>
              <w:rPr>
                <w:rFonts w:ascii="仿宋_GB2312" w:hAnsi="仿宋_GB2312" w:cs="仿宋_GB2312" w:eastAsia="仿宋_GB2312"/>
                <w:sz w:val="24"/>
              </w:rPr>
              <w:t>2.所有布展、装饰、装修部分、产品等在质保期内，成交供应商负责安排工作人员上门进行维修、更换和维护服务；若出现由采购人人为造成的损坏情况，成交供应商只收取材料成本费用。</w:t>
            </w:r>
          </w:p>
          <w:p>
            <w:pPr>
              <w:pStyle w:val="null3"/>
              <w:ind w:firstLine="480"/>
            </w:pPr>
            <w:r>
              <w:rPr>
                <w:rFonts w:ascii="仿宋_GB2312" w:hAnsi="仿宋_GB2312" w:cs="仿宋_GB2312" w:eastAsia="仿宋_GB2312"/>
                <w:sz w:val="24"/>
              </w:rPr>
              <w:t>3.超出质保期出现问题，成交供应商有义务按照当前市场报价对损害部分进行收费维修，所有电子产品硬件过保修期后按当前市场价格维修。</w:t>
            </w:r>
          </w:p>
          <w:p>
            <w:pPr>
              <w:pStyle w:val="null3"/>
              <w:ind w:firstLine="480"/>
            </w:pPr>
            <w:r>
              <w:rPr>
                <w:rFonts w:ascii="仿宋_GB2312" w:hAnsi="仿宋_GB2312" w:cs="仿宋_GB2312" w:eastAsia="仿宋_GB2312"/>
                <w:sz w:val="24"/>
              </w:rPr>
              <w:t>4.质量保证期满后，成交供应商仍应对本项目提供及时、良好的维护服务。</w:t>
            </w:r>
          </w:p>
          <w:p>
            <w:pPr>
              <w:pStyle w:val="null3"/>
              <w:ind w:firstLine="480"/>
            </w:pPr>
            <w:r>
              <w:rPr>
                <w:rFonts w:ascii="仿宋_GB2312" w:hAnsi="仿宋_GB2312" w:cs="仿宋_GB2312" w:eastAsia="仿宋_GB2312"/>
                <w:sz w:val="24"/>
              </w:rPr>
              <w:t>5.成交供应商须详细列明备品备件名称、规格、数量、价格、更换周期等。</w:t>
            </w:r>
          </w:p>
          <w:p>
            <w:pPr>
              <w:pStyle w:val="null3"/>
              <w:ind w:firstLine="480"/>
            </w:pPr>
            <w:r>
              <w:rPr>
                <w:rFonts w:ascii="仿宋_GB2312" w:hAnsi="仿宋_GB2312" w:cs="仿宋_GB2312" w:eastAsia="仿宋_GB2312"/>
                <w:sz w:val="24"/>
              </w:rPr>
              <w:t>6.为保证展项的连续稳定运行，成交供应商须承诺质保期内定期每月对展项进行一次巡检，了解系统运行情况，及时掌握系统运行情况，对出现的问题及时解决，对出现的问题和解决的结果以书面文件的形式及时返回给采购人。</w:t>
            </w:r>
          </w:p>
          <w:p>
            <w:pPr>
              <w:pStyle w:val="null3"/>
              <w:ind w:firstLine="480"/>
            </w:pPr>
            <w:r>
              <w:rPr>
                <w:rFonts w:ascii="仿宋_GB2312" w:hAnsi="仿宋_GB2312" w:cs="仿宋_GB2312" w:eastAsia="仿宋_GB2312"/>
                <w:sz w:val="24"/>
              </w:rPr>
              <w:t>7．使用培训</w:t>
            </w:r>
          </w:p>
          <w:p>
            <w:pPr>
              <w:pStyle w:val="null3"/>
              <w:ind w:firstLine="480"/>
            </w:pPr>
            <w:r>
              <w:rPr>
                <w:rFonts w:ascii="仿宋_GB2312" w:hAnsi="仿宋_GB2312" w:cs="仿宋_GB2312" w:eastAsia="仿宋_GB2312"/>
                <w:sz w:val="24"/>
              </w:rPr>
              <w:t>成交供应商应派出培训人员，围绕数字化设备和软件，对采购人进行相应使用培训，培训人员应具有丰富的技术经验。培训方式需包括：包括书面讲解、实际操作。</w:t>
            </w:r>
          </w:p>
          <w:p>
            <w:pPr>
              <w:pStyle w:val="null3"/>
              <w:ind w:firstLine="480"/>
            </w:pPr>
            <w:r>
              <w:rPr>
                <w:rFonts w:ascii="仿宋_GB2312" w:hAnsi="仿宋_GB2312" w:cs="仿宋_GB2312" w:eastAsia="仿宋_GB2312"/>
                <w:sz w:val="24"/>
              </w:rPr>
              <w:t>8.成交供应商应保证采购人在项目进行及会后不产生任何关于肖像权、所有权、工业产权、著作权（版权）等知识产权的纠纷。若产生，由成交供应商全权承担。</w:t>
            </w:r>
          </w:p>
          <w:p>
            <w:pPr>
              <w:pStyle w:val="null3"/>
              <w:ind w:firstLine="480"/>
            </w:pP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（一）磋商报价要求： 1、本项目为总价包干，供应商应综合考虑报价，项目实施过程中不再增加预算。 2、磋商报价应是含税工程报价，税率9%。 3、因本项目涉及布展安装区域较多，供应商响应前，应充分考虑采购需求对投标报价的影响，任何因忽视或误解需求而导致的索赔、价款调整或工期延长申请将不被批准。供应商应充分考虑工程建设需求与本工程报价有关的任何因素均应考虑在磋商报价中。 （二）商务要求： 1.工期：自接到采购人通知之日起30个日历天，具体以项目实际需求为准。 2.工程地点：陕西省艺术研究院指定地点。 3.质量要求：质量验收合格。必须符合国家、省市现行法规及规范、标准的合格标准。 4.质保售后：项目整体提供保修和服务1年。 5.付款方式： （1）合同签订完成，完成深化设计方案及施工图设计，经采购人确认后，支付合同金额的60%； （2）施工布展完成，项目终验合格，支付合同金额的40%； （3）付款前，成交供应商应提供等额的增值税发票给采购人。 （三）其他要求： 1.供应商应充分考虑磋商文件中规定的时间及要求，以充分了解采购需求及任何其他足以影响响应报价的情况，供应商因忽视或误解采购需求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所有材料必须使用合格产品，竞争性磋商文件如对材料的材质、品牌等有明确要求的，不得变更相关要求，使用前应当由采购人认质确认后方可投入使用。工程施工完毕后需对施工场地进行保洁，保洁标准达到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磋商保证金注意事项：（1）磋商保证金须从供应商户名支付，如从个人户名或非供应商户名支付，将被拒绝，视为自动放弃投标权利（该个人是供应商的情形除外）；以保函形式交纳磋商保证金的，供应商应在磋商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 连带责任； （2）磋商保证金的提交金额、时间不满足磋商文件要求的，响应无效； （3）磋商保证金以采购代理机构到账凭证为准，供应商无需更换交纳凭证，由采购代理机构统一提供。 （4）未按指定账户提交的，我公司将退回，供应商须在文件递交截止时间前按照指定账户再次提交。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提供供应商建筑工程施工总承包三级及以上或建筑装修装饰工程专业承包二级及以上资质，以及有效期内的安全生产许可证</w:t>
            </w:r>
          </w:p>
        </w:tc>
        <w:tc>
          <w:tcPr>
            <w:tcW w:type="dxa" w:w="1661"/>
          </w:tcPr>
          <w:p>
            <w:pPr>
              <w:pStyle w:val="null3"/>
            </w:pPr>
            <w:r>
              <w:rPr>
                <w:rFonts w:ascii="仿宋_GB2312" w:hAnsi="仿宋_GB2312" w:cs="仿宋_GB2312" w:eastAsia="仿宋_GB2312"/>
              </w:rPr>
              <w:t>1供应商资格证明文件.docx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提供拟派项目经理有效的机电工程专业注册建造师二级（含二级）以上或建筑工程专业注册建造师二级（含二级）以上执业资格及安全生产考核合格证书（安全B证），在本单位注册且无在建工程（提供无在建工程承诺）。</w:t>
            </w:r>
          </w:p>
        </w:tc>
        <w:tc>
          <w:tcPr>
            <w:tcW w:type="dxa" w:w="1661"/>
          </w:tcPr>
          <w:p>
            <w:pPr>
              <w:pStyle w:val="null3"/>
            </w:pPr>
            <w:r>
              <w:rPr>
                <w:rFonts w:ascii="仿宋_GB2312" w:hAnsi="仿宋_GB2312" w:cs="仿宋_GB2312" w:eastAsia="仿宋_GB2312"/>
              </w:rPr>
              <w:t>1供应商资格证明文件.docx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报价未超过磋商文件中规定的预算金额或最高限价的</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满足本磋商文件中“三、针对本项目的其他技术服务要求中（二）商务要求”的</w:t>
            </w:r>
          </w:p>
        </w:tc>
        <w:tc>
          <w:tcPr>
            <w:tcW w:type="dxa" w:w="1661"/>
          </w:tcPr>
          <w:p>
            <w:pPr>
              <w:pStyle w:val="null3"/>
            </w:pPr>
            <w:r>
              <w:rPr>
                <w:rFonts w:ascii="仿宋_GB2312" w:hAnsi="仿宋_GB2312" w:cs="仿宋_GB2312" w:eastAsia="仿宋_GB2312"/>
              </w:rPr>
              <w:t>4商务部分偏离表.docx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2承诺书.docx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供应商提供针对本项目的施工方案，至少包含①施工前检查准备②整体施工流程 ③关键部位施工方案及施工工艺④劳动力配置计划⑤施工现场设施保护及成品保护方案。 满足项目实施要求，无瑕疵：10分； 内容每存在1处瑕疵扣1分； 内容存在10处及以上瑕疵或未提供计0分。 注：本文所称“瑕疵”是指：项目名称不符、方案内容与项目需求不一致、涉及的技术规范标准等与国家或行业或磋商文件要求不一致；非专门针对本项目或不适用本项目特性、套用其他项目内容；方案内容存在凭空想象与编造，工作组织无条理性、计划方法或实施步骤安排混乱、语义表述存在歧义、混乱、前后不一致、科学原理或常识错误；不利于本项目目标的实现、现有技术条件下不可能出现的情形等任意一种情形等。（下述评分标准针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5施工方案.docx</w:t>
            </w:r>
          </w:p>
        </w:tc>
      </w:tr>
      <w:tr>
        <w:tc>
          <w:tcPr>
            <w:tcW w:type="dxa" w:w="831"/>
            <w:vMerge/>
          </w:tcPr>
          <w:p/>
        </w:tc>
        <w:tc>
          <w:tcPr>
            <w:tcW w:type="dxa" w:w="1661"/>
          </w:tcPr>
          <w:p>
            <w:pPr>
              <w:pStyle w:val="null3"/>
            </w:pPr>
            <w:r>
              <w:rPr>
                <w:rFonts w:ascii="仿宋_GB2312" w:hAnsi="仿宋_GB2312" w:cs="仿宋_GB2312" w:eastAsia="仿宋_GB2312"/>
              </w:rPr>
              <w:t>施工重难点分析及解决措施</w:t>
            </w:r>
          </w:p>
        </w:tc>
        <w:tc>
          <w:tcPr>
            <w:tcW w:type="dxa" w:w="2492"/>
          </w:tcPr>
          <w:p>
            <w:pPr>
              <w:pStyle w:val="null3"/>
            </w:pPr>
            <w:r>
              <w:rPr>
                <w:rFonts w:ascii="仿宋_GB2312" w:hAnsi="仿宋_GB2312" w:cs="仿宋_GB2312" w:eastAsia="仿宋_GB2312"/>
              </w:rPr>
              <w:t>供应商针对本项目提供①施工过程中的重难点分析；②对应的解决措施。 满足项目实施要求，无瑕疵：2分； 内容每存在1处瑕疵扣0.5分； 内容存在4处及以上瑕疵或未提供计0分。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6施工重难点分析及解决措施.docx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供应商能够针对本项目需求，结合一楼艺术资源展示空间、四楼书法创作研讨空间、五楼戏曲及影视创作空间特点进行针对性设计，提供下述内容设计方案及针对项目的设计图纸：①整体设计理念②参观动线③展示逻辑④空间布局及功能分区设计⑤中控弱电系统设计。要求整体空间美学协调统一，能够体现陕西地域文化特色和艺术研究院定位。 满足项目实施要求，无瑕疵：10分； 内容每存在1处瑕疵扣1分； 内容存在10处及以上瑕疵或未提供计0分。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7设计方案.docx</w:t>
            </w:r>
          </w:p>
        </w:tc>
      </w:tr>
      <w:tr>
        <w:tc>
          <w:tcPr>
            <w:tcW w:type="dxa" w:w="831"/>
            <w:vMerge/>
          </w:tcPr>
          <w:p/>
        </w:tc>
        <w:tc>
          <w:tcPr>
            <w:tcW w:type="dxa" w:w="1661"/>
          </w:tcPr>
          <w:p>
            <w:pPr>
              <w:pStyle w:val="null3"/>
            </w:pPr>
            <w:r>
              <w:rPr>
                <w:rFonts w:ascii="仿宋_GB2312" w:hAnsi="仿宋_GB2312" w:cs="仿宋_GB2312" w:eastAsia="仿宋_GB2312"/>
              </w:rPr>
              <w:t>项目设计要点及重难点</w:t>
            </w:r>
          </w:p>
        </w:tc>
        <w:tc>
          <w:tcPr>
            <w:tcW w:type="dxa" w:w="2492"/>
          </w:tcPr>
          <w:p>
            <w:pPr>
              <w:pStyle w:val="null3"/>
            </w:pPr>
            <w:r>
              <w:rPr>
                <w:rFonts w:ascii="仿宋_GB2312" w:hAnsi="仿宋_GB2312" w:cs="仿宋_GB2312" w:eastAsia="仿宋_GB2312"/>
              </w:rPr>
              <w:t>供应商结合本项目特点，提供针对项目的设计要点把控、重难点分析及解决措施。 满足项目实施要求，无瑕疵：3分； 内容每存在1处瑕疵扣0.5分； 内容存在6处及以上瑕疵或未提供计0分。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8项目设计要点及重难点.docx</w:t>
            </w:r>
          </w:p>
        </w:tc>
      </w:tr>
      <w:tr>
        <w:tc>
          <w:tcPr>
            <w:tcW w:type="dxa" w:w="831"/>
            <w:vMerge/>
          </w:tcPr>
          <w:p/>
        </w:tc>
        <w:tc>
          <w:tcPr>
            <w:tcW w:type="dxa" w:w="1661"/>
          </w:tcPr>
          <w:p>
            <w:pPr>
              <w:pStyle w:val="null3"/>
            </w:pPr>
            <w:r>
              <w:rPr>
                <w:rFonts w:ascii="仿宋_GB2312" w:hAnsi="仿宋_GB2312" w:cs="仿宋_GB2312" w:eastAsia="仿宋_GB2312"/>
              </w:rPr>
              <w:t>线上服务保障方案</w:t>
            </w:r>
          </w:p>
        </w:tc>
        <w:tc>
          <w:tcPr>
            <w:tcW w:type="dxa" w:w="2492"/>
          </w:tcPr>
          <w:p>
            <w:pPr>
              <w:pStyle w:val="null3"/>
            </w:pPr>
            <w:r>
              <w:rPr>
                <w:rFonts w:ascii="仿宋_GB2312" w:hAnsi="仿宋_GB2312" w:cs="仿宋_GB2312" w:eastAsia="仿宋_GB2312"/>
              </w:rPr>
              <w:t>供应商针对本项目需求提供线上服务保障方案，包括①线上服务系统功能保障；②展品线上数字化展示的保障方案。 满足项目实施要求，无瑕疵：2分； 内容每存在1处瑕疵扣0.5分； 内容存在4处及以上瑕疵或未提供计0分。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9线上服务保障方案.docx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供应商针对本项目工期要求及施工特点，提供施工进度计划，至少包含①工程各阶段进度施工计划②提供施工进度计划横道图③进度控制保证措施。 满足项目实施要求，无瑕疵：3分； 内容每存在1处瑕疵扣0.5分； 内容存在6处及以上瑕疵或未提供计0分。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10施工进度计划.docx</w:t>
            </w:r>
          </w:p>
        </w:tc>
      </w:tr>
      <w:tr>
        <w:tc>
          <w:tcPr>
            <w:tcW w:type="dxa" w:w="831"/>
            <w:vMerge/>
          </w:tcPr>
          <w:p/>
        </w:tc>
        <w:tc>
          <w:tcPr>
            <w:tcW w:type="dxa" w:w="1661"/>
          </w:tcPr>
          <w:p>
            <w:pPr>
              <w:pStyle w:val="null3"/>
            </w:pPr>
            <w:r>
              <w:rPr>
                <w:rFonts w:ascii="仿宋_GB2312" w:hAnsi="仿宋_GB2312" w:cs="仿宋_GB2312" w:eastAsia="仿宋_GB2312"/>
              </w:rPr>
              <w:t>施工组织及质量保障</w:t>
            </w:r>
          </w:p>
        </w:tc>
        <w:tc>
          <w:tcPr>
            <w:tcW w:type="dxa" w:w="2492"/>
          </w:tcPr>
          <w:p>
            <w:pPr>
              <w:pStyle w:val="null3"/>
            </w:pPr>
            <w:r>
              <w:rPr>
                <w:rFonts w:ascii="仿宋_GB2312" w:hAnsi="仿宋_GB2312" w:cs="仿宋_GB2312" w:eastAsia="仿宋_GB2312"/>
              </w:rPr>
              <w:t>供应商提供针对本项目的施工组织及质量保障方案，内容至少包括①施工资源投入计划②数字化、智能互动、AI技术等新技术应用③施工质量管控制度及保障措施。 满足项目实施要求，无瑕疵：3分； 内容每存在1处瑕疵扣0.5分； 内容存在6处及以上瑕疵或未提供计0分。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11施工组织及质量保障.docx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采购需求，提供项目实施方案。包括①上架布展实施方案；②制定针对本项目的媒体组织方案；③线上展示平台搭建及宣传引流方案、宣传配合方案等；④分析各宣传方式的利弊点及解决措施；⑤宣传效果及观赏引流保障方案。 满足项目实施要求，无瑕疵：5分； 内容每存在1处瑕疵扣0.5分； 内容存在10处及以上瑕疵或未提供计0分。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12实施方案.docx</w:t>
            </w:r>
          </w:p>
        </w:tc>
      </w:tr>
      <w:tr>
        <w:tc>
          <w:tcPr>
            <w:tcW w:type="dxa" w:w="831"/>
            <w:vMerge/>
          </w:tcPr>
          <w:p/>
        </w:tc>
        <w:tc>
          <w:tcPr>
            <w:tcW w:type="dxa" w:w="1661"/>
          </w:tcPr>
          <w:p>
            <w:pPr>
              <w:pStyle w:val="null3"/>
            </w:pPr>
            <w:r>
              <w:rPr>
                <w:rFonts w:ascii="仿宋_GB2312" w:hAnsi="仿宋_GB2312" w:cs="仿宋_GB2312" w:eastAsia="仿宋_GB2312"/>
              </w:rPr>
              <w:t>拟投入装修主材及硬件设备</w:t>
            </w:r>
          </w:p>
        </w:tc>
        <w:tc>
          <w:tcPr>
            <w:tcW w:type="dxa" w:w="2492"/>
          </w:tcPr>
          <w:p>
            <w:pPr>
              <w:pStyle w:val="null3"/>
            </w:pPr>
            <w:r>
              <w:rPr>
                <w:rFonts w:ascii="仿宋_GB2312" w:hAnsi="仿宋_GB2312" w:cs="仿宋_GB2312" w:eastAsia="仿宋_GB2312"/>
              </w:rPr>
              <w:t>（1）根据本项目装修主要材料及硬件设备要求，提供①拟投入装修主材清单，列明规格；②硬件设备清单（至少包含序号、设备名称、品牌、规格型号）。 提供的装修主材清单及规格内容明确；硬件设备清单齐全计5分（清单详见3.1（一）详细清单），有缺漏项不得分。 （2）硬件设备参数响应情况：提供硬件设备技术响应偏离表，偏离表内容齐全计3分； （3）硬件设备中要求提供佐证材料的设备或核心功能要求（①LED屏、②投影配套中的投影机、③研讨屏幕、④大模型应用体验设备、⑤线上服务系统的核心功能）须提供佐证材料，每有1项完全满足技术要求没有负偏离的计2分，满分10分；部分内容不满足，则该项不计分。 备注： 1.供应商可针对拟投入设备提供有效佐证材料，可为第三方检测报告或官网截图或软件功能截图或加盖生产厂家公章的技术白皮书或参数中要求的佐证材料等。 3.佐证材料与技术响应偏离表响应内容不一致的，以佐证材料为准。同一指标提供佐证材料内容不一致的，以最不利于供应商的情形进行评审。</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13拟投入装修主材及硬件设备.docx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1.供应商提供拟派项目经理个人简历，至少包含姓名、年龄、学历证明、相关工作经验列表、职称证书（若有）等；提供资料齐全计2分，未提供或内容不全不计分。 2.供应商提供针对本项目除项目经理外主要管理人员（至少包含技术负责人、设计负责人和安全负责人）的组织机构框架、项目人员简历（岗位设置、学历证明、专业种类及能力）。 组织机构框架内容完整，包含上述人员且简历内容齐全计3分；部分内容不完整计0.5分，未提供不计分。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14项目组织机构.docx</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供应商2023年1月1日至今同类项目合同扫描件（以合同签订日期为准），扫描件必须清晰体现签约主体和日期、项目名称及内容、合同金额等核心要素，否则不计为有效业绩。每提供1个有效业绩得2分，最高得8分。 备注：1.响应文件中提供同类项目的业绩合同扫描件并加盖供应商公章。 2.同类项目是指建设内容中包含室内装饰装修、改造升级工程相关内容。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15同类项目业绩.docx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拟提供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磋商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 二、供应商提交的相关说明和证明材料，应当加盖供应商（法定名称）电子印章，在磋商小组要求的时间内通过项目电子化交易系统进行提交，否则提交的相关证明材料无效。供应商不能证明其响应报价合理性的或未在规定时间提交上述（1）（2）材料的或者提供的材料不齐全的或者提供的材料不被专家认可的，磋商小组均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3工程清单分项报价表.docx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5%的扣除，用扣除后的价格参加评审。承接本项目的供应商符合相应条件时，给予5%的价格扣除，即：评标价=最后报价×（1-5%）;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详见附件：1供应商资格证明文件.docx</w:t>
      </w:r>
    </w:p>
    <w:p>
      <w:pPr>
        <w:pStyle w:val="null3"/>
        <w:ind w:firstLine="960"/>
      </w:pPr>
      <w:r>
        <w:rPr>
          <w:rFonts w:ascii="仿宋_GB2312" w:hAnsi="仿宋_GB2312" w:cs="仿宋_GB2312" w:eastAsia="仿宋_GB2312"/>
        </w:rPr>
        <w:t>详见附件：2承诺书.docx</w:t>
      </w:r>
    </w:p>
    <w:p>
      <w:pPr>
        <w:pStyle w:val="null3"/>
        <w:ind w:firstLine="960"/>
      </w:pPr>
      <w:r>
        <w:rPr>
          <w:rFonts w:ascii="仿宋_GB2312" w:hAnsi="仿宋_GB2312" w:cs="仿宋_GB2312" w:eastAsia="仿宋_GB2312"/>
        </w:rPr>
        <w:t>详见附件：3工程清单分项报价表.docx</w:t>
      </w:r>
    </w:p>
    <w:p>
      <w:pPr>
        <w:pStyle w:val="null3"/>
        <w:ind w:firstLine="960"/>
      </w:pPr>
      <w:r>
        <w:rPr>
          <w:rFonts w:ascii="仿宋_GB2312" w:hAnsi="仿宋_GB2312" w:cs="仿宋_GB2312" w:eastAsia="仿宋_GB2312"/>
        </w:rPr>
        <w:t>详见附件：4商务部分偏离表.docx</w:t>
      </w:r>
    </w:p>
    <w:p>
      <w:pPr>
        <w:pStyle w:val="null3"/>
        <w:ind w:firstLine="960"/>
      </w:pPr>
      <w:r>
        <w:rPr>
          <w:rFonts w:ascii="仿宋_GB2312" w:hAnsi="仿宋_GB2312" w:cs="仿宋_GB2312" w:eastAsia="仿宋_GB2312"/>
        </w:rPr>
        <w:t>详见附件：5施工方案.docx</w:t>
      </w:r>
    </w:p>
    <w:p>
      <w:pPr>
        <w:pStyle w:val="null3"/>
        <w:ind w:firstLine="960"/>
      </w:pPr>
      <w:r>
        <w:rPr>
          <w:rFonts w:ascii="仿宋_GB2312" w:hAnsi="仿宋_GB2312" w:cs="仿宋_GB2312" w:eastAsia="仿宋_GB2312"/>
        </w:rPr>
        <w:t>详见附件：6施工重难点分析及解决措施.docx</w:t>
      </w:r>
    </w:p>
    <w:p>
      <w:pPr>
        <w:pStyle w:val="null3"/>
        <w:ind w:firstLine="960"/>
      </w:pPr>
      <w:r>
        <w:rPr>
          <w:rFonts w:ascii="仿宋_GB2312" w:hAnsi="仿宋_GB2312" w:cs="仿宋_GB2312" w:eastAsia="仿宋_GB2312"/>
        </w:rPr>
        <w:t>详见附件：7设计方案.docx</w:t>
      </w:r>
    </w:p>
    <w:p>
      <w:pPr>
        <w:pStyle w:val="null3"/>
        <w:ind w:firstLine="960"/>
      </w:pPr>
      <w:r>
        <w:rPr>
          <w:rFonts w:ascii="仿宋_GB2312" w:hAnsi="仿宋_GB2312" w:cs="仿宋_GB2312" w:eastAsia="仿宋_GB2312"/>
        </w:rPr>
        <w:t>详见附件：8项目设计要点及重难点.docx</w:t>
      </w:r>
    </w:p>
    <w:p>
      <w:pPr>
        <w:pStyle w:val="null3"/>
        <w:ind w:firstLine="960"/>
      </w:pPr>
      <w:r>
        <w:rPr>
          <w:rFonts w:ascii="仿宋_GB2312" w:hAnsi="仿宋_GB2312" w:cs="仿宋_GB2312" w:eastAsia="仿宋_GB2312"/>
        </w:rPr>
        <w:t>详见附件：9线上服务保障方案.docx</w:t>
      </w:r>
    </w:p>
    <w:p>
      <w:pPr>
        <w:pStyle w:val="null3"/>
        <w:ind w:firstLine="960"/>
      </w:pPr>
      <w:r>
        <w:rPr>
          <w:rFonts w:ascii="仿宋_GB2312" w:hAnsi="仿宋_GB2312" w:cs="仿宋_GB2312" w:eastAsia="仿宋_GB2312"/>
        </w:rPr>
        <w:t>详见附件：10施工进度计划.docx</w:t>
      </w:r>
    </w:p>
    <w:p>
      <w:pPr>
        <w:pStyle w:val="null3"/>
        <w:ind w:firstLine="960"/>
      </w:pPr>
      <w:r>
        <w:rPr>
          <w:rFonts w:ascii="仿宋_GB2312" w:hAnsi="仿宋_GB2312" w:cs="仿宋_GB2312" w:eastAsia="仿宋_GB2312"/>
        </w:rPr>
        <w:t>详见附件：11施工组织及质量保障.docx</w:t>
      </w:r>
    </w:p>
    <w:p>
      <w:pPr>
        <w:pStyle w:val="null3"/>
        <w:ind w:firstLine="960"/>
      </w:pPr>
      <w:r>
        <w:rPr>
          <w:rFonts w:ascii="仿宋_GB2312" w:hAnsi="仿宋_GB2312" w:cs="仿宋_GB2312" w:eastAsia="仿宋_GB2312"/>
        </w:rPr>
        <w:t>详见附件：12实施方案.docx</w:t>
      </w:r>
    </w:p>
    <w:p>
      <w:pPr>
        <w:pStyle w:val="null3"/>
        <w:ind w:firstLine="960"/>
      </w:pPr>
      <w:r>
        <w:rPr>
          <w:rFonts w:ascii="仿宋_GB2312" w:hAnsi="仿宋_GB2312" w:cs="仿宋_GB2312" w:eastAsia="仿宋_GB2312"/>
        </w:rPr>
        <w:t>详见附件：13拟投入装修主材及硬件设备.docx</w:t>
      </w:r>
    </w:p>
    <w:p>
      <w:pPr>
        <w:pStyle w:val="null3"/>
        <w:ind w:firstLine="960"/>
      </w:pPr>
      <w:r>
        <w:rPr>
          <w:rFonts w:ascii="仿宋_GB2312" w:hAnsi="仿宋_GB2312" w:cs="仿宋_GB2312" w:eastAsia="仿宋_GB2312"/>
        </w:rPr>
        <w:t>详见附件：14项目组织机构.docx</w:t>
      </w:r>
    </w:p>
    <w:p>
      <w:pPr>
        <w:pStyle w:val="null3"/>
        <w:ind w:firstLine="960"/>
      </w:pPr>
      <w:r>
        <w:rPr>
          <w:rFonts w:ascii="仿宋_GB2312" w:hAnsi="仿宋_GB2312" w:cs="仿宋_GB2312" w:eastAsia="仿宋_GB2312"/>
        </w:rPr>
        <w:t>详见附件：15同类项目业绩.docx</w:t>
      </w:r>
    </w:p>
    <w:p>
      <w:pPr>
        <w:pStyle w:val="null3"/>
        <w:ind w:firstLine="960"/>
      </w:pPr>
      <w:r>
        <w:rPr>
          <w:rFonts w:ascii="仿宋_GB2312" w:hAnsi="仿宋_GB2312" w:cs="仿宋_GB2312" w:eastAsia="仿宋_GB2312"/>
        </w:rPr>
        <w:t>详见附件：16节能环保.docx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 Id="rId8"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