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90468EA">
      <w:pPr>
        <w:spacing w:before="138" w:line="224" w:lineRule="auto"/>
        <w:ind w:left="0" w:leftChars="0" w:firstLine="0" w:firstLineChars="0"/>
        <w:jc w:val="center"/>
        <w:outlineLvl w:val="0"/>
        <w:rPr>
          <w:rFonts w:hint="eastAsia" w:ascii="宋体" w:hAnsi="宋体" w:eastAsia="宋体" w:cs="宋体"/>
          <w:b/>
          <w:bCs/>
          <w:spacing w:val="4"/>
          <w:sz w:val="31"/>
          <w:szCs w:val="31"/>
          <w:lang w:eastAsia="zh-CN"/>
        </w:rPr>
      </w:pPr>
      <w:r>
        <w:rPr>
          <w:rFonts w:hint="eastAsia" w:ascii="宋体" w:hAnsi="宋体" w:eastAsia="宋体" w:cs="宋体"/>
          <w:b/>
          <w:bCs/>
          <w:spacing w:val="4"/>
          <w:sz w:val="31"/>
          <w:szCs w:val="31"/>
          <w:lang w:eastAsia="zh-CN"/>
        </w:rPr>
        <w:t>蓝田县2026年中央水利发展资金山洪灾害防治非工程措施</w:t>
      </w:r>
    </w:p>
    <w:p w14:paraId="331A180D">
      <w:pPr>
        <w:spacing w:before="138" w:line="224" w:lineRule="auto"/>
        <w:ind w:left="0" w:leftChars="0" w:firstLine="0" w:firstLineChars="0"/>
        <w:jc w:val="center"/>
        <w:outlineLvl w:val="0"/>
        <w:rPr>
          <w:rFonts w:ascii="宋体" w:hAnsi="宋体" w:eastAsia="宋体" w:cs="宋体"/>
          <w:sz w:val="31"/>
          <w:szCs w:val="31"/>
        </w:rPr>
      </w:pPr>
      <w:r>
        <w:rPr>
          <w:rFonts w:hint="eastAsia" w:ascii="宋体" w:hAnsi="宋体" w:eastAsia="宋体" w:cs="宋体"/>
          <w:b/>
          <w:bCs/>
          <w:spacing w:val="4"/>
          <w:sz w:val="31"/>
          <w:szCs w:val="31"/>
          <w:lang w:eastAsia="zh-CN"/>
        </w:rPr>
        <w:t>维修养护项目</w:t>
      </w:r>
      <w:bookmarkStart w:id="0" w:name="_GoBack"/>
      <w:bookmarkEnd w:id="0"/>
      <w:r>
        <w:rPr>
          <w:rFonts w:ascii="宋体" w:hAnsi="宋体" w:eastAsia="宋体" w:cs="宋体"/>
          <w:b/>
          <w:bCs/>
          <w:spacing w:val="6"/>
          <w:sz w:val="31"/>
          <w:szCs w:val="31"/>
        </w:rPr>
        <w:t>政府采购需求书</w:t>
      </w:r>
    </w:p>
    <w:p w14:paraId="7C69AE55">
      <w:pPr>
        <w:spacing w:line="94" w:lineRule="exact"/>
      </w:pPr>
    </w:p>
    <w:tbl>
      <w:tblPr>
        <w:tblStyle w:val="6"/>
        <w:tblW w:w="951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53"/>
        <w:gridCol w:w="2091"/>
        <w:gridCol w:w="6670"/>
      </w:tblGrid>
      <w:tr w14:paraId="7681608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9" w:hRule="atLeast"/>
        </w:trPr>
        <w:tc>
          <w:tcPr>
            <w:tcW w:w="753" w:type="dxa"/>
            <w:vAlign w:val="top"/>
          </w:tcPr>
          <w:p w14:paraId="38B5A476">
            <w:pPr>
              <w:pStyle w:val="7"/>
              <w:spacing w:before="193" w:line="221" w:lineRule="auto"/>
              <w:ind w:left="103"/>
            </w:pPr>
            <w:r>
              <w:rPr>
                <w:b/>
                <w:bCs/>
                <w:spacing w:val="-7"/>
              </w:rPr>
              <w:t>序号</w:t>
            </w:r>
          </w:p>
        </w:tc>
        <w:tc>
          <w:tcPr>
            <w:tcW w:w="2091" w:type="dxa"/>
            <w:vAlign w:val="top"/>
          </w:tcPr>
          <w:p w14:paraId="38D3FCFA">
            <w:pPr>
              <w:pStyle w:val="7"/>
              <w:spacing w:before="192" w:line="221" w:lineRule="auto"/>
              <w:ind w:left="495"/>
            </w:pPr>
            <w:r>
              <w:rPr>
                <w:b/>
                <w:bCs/>
                <w:spacing w:val="-6"/>
              </w:rPr>
              <w:t>关键事项</w:t>
            </w:r>
          </w:p>
        </w:tc>
        <w:tc>
          <w:tcPr>
            <w:tcW w:w="6670" w:type="dxa"/>
            <w:vAlign w:val="top"/>
          </w:tcPr>
          <w:p w14:paraId="12BDD183">
            <w:pPr>
              <w:pStyle w:val="7"/>
              <w:spacing w:before="192" w:line="220" w:lineRule="auto"/>
              <w:ind w:left="2639"/>
            </w:pPr>
            <w:r>
              <w:rPr>
                <w:b/>
                <w:bCs/>
                <w:spacing w:val="-5"/>
              </w:rPr>
              <w:t>说明和要求</w:t>
            </w:r>
          </w:p>
        </w:tc>
      </w:tr>
      <w:tr w14:paraId="48E0B3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39" w:hRule="atLeast"/>
        </w:trPr>
        <w:tc>
          <w:tcPr>
            <w:tcW w:w="753" w:type="dxa"/>
            <w:vAlign w:val="top"/>
          </w:tcPr>
          <w:p w14:paraId="17ACA16F">
            <w:pPr>
              <w:spacing w:line="267" w:lineRule="auto"/>
              <w:rPr>
                <w:rFonts w:ascii="Arial"/>
                <w:sz w:val="21"/>
              </w:rPr>
            </w:pPr>
          </w:p>
          <w:p w14:paraId="67EF1C4C">
            <w:pPr>
              <w:spacing w:line="267" w:lineRule="auto"/>
              <w:rPr>
                <w:rFonts w:ascii="Arial"/>
                <w:sz w:val="21"/>
              </w:rPr>
            </w:pPr>
          </w:p>
          <w:p w14:paraId="7AAD6296">
            <w:pPr>
              <w:spacing w:line="267" w:lineRule="auto"/>
              <w:rPr>
                <w:rFonts w:ascii="Arial"/>
                <w:sz w:val="21"/>
              </w:rPr>
            </w:pPr>
          </w:p>
          <w:p w14:paraId="177B3691">
            <w:pPr>
              <w:spacing w:line="267" w:lineRule="auto"/>
              <w:rPr>
                <w:rFonts w:ascii="Arial"/>
                <w:sz w:val="21"/>
              </w:rPr>
            </w:pPr>
          </w:p>
          <w:p w14:paraId="31433F05">
            <w:pPr>
              <w:spacing w:line="267" w:lineRule="auto"/>
              <w:rPr>
                <w:rFonts w:ascii="Arial"/>
                <w:sz w:val="21"/>
              </w:rPr>
            </w:pPr>
          </w:p>
          <w:p w14:paraId="691654E9">
            <w:pPr>
              <w:pStyle w:val="7"/>
              <w:spacing w:before="91" w:line="242" w:lineRule="auto"/>
              <w:ind w:left="336"/>
            </w:pPr>
            <w:r>
              <w:t>1</w:t>
            </w:r>
          </w:p>
        </w:tc>
        <w:tc>
          <w:tcPr>
            <w:tcW w:w="2091" w:type="dxa"/>
            <w:vAlign w:val="top"/>
          </w:tcPr>
          <w:p w14:paraId="1AC0B1CC">
            <w:pPr>
              <w:spacing w:line="267" w:lineRule="auto"/>
              <w:rPr>
                <w:rFonts w:ascii="Arial"/>
                <w:sz w:val="21"/>
              </w:rPr>
            </w:pPr>
          </w:p>
          <w:p w14:paraId="45063CAC">
            <w:pPr>
              <w:spacing w:line="267" w:lineRule="auto"/>
              <w:rPr>
                <w:rFonts w:ascii="Arial"/>
                <w:sz w:val="21"/>
              </w:rPr>
            </w:pPr>
          </w:p>
          <w:p w14:paraId="1BD7A6A3">
            <w:pPr>
              <w:spacing w:line="267" w:lineRule="auto"/>
              <w:rPr>
                <w:rFonts w:ascii="Arial"/>
                <w:sz w:val="21"/>
              </w:rPr>
            </w:pPr>
          </w:p>
          <w:p w14:paraId="095F3C4B">
            <w:pPr>
              <w:spacing w:line="267" w:lineRule="auto"/>
              <w:rPr>
                <w:rFonts w:ascii="Arial"/>
                <w:sz w:val="21"/>
              </w:rPr>
            </w:pPr>
          </w:p>
          <w:p w14:paraId="5639C528">
            <w:pPr>
              <w:spacing w:line="267" w:lineRule="auto"/>
              <w:rPr>
                <w:rFonts w:ascii="Arial"/>
                <w:sz w:val="21"/>
              </w:rPr>
            </w:pPr>
          </w:p>
          <w:p w14:paraId="2379AE14">
            <w:pPr>
              <w:pStyle w:val="7"/>
              <w:spacing w:before="91" w:line="219" w:lineRule="auto"/>
              <w:ind w:left="492"/>
            </w:pPr>
            <w:r>
              <w:rPr>
                <w:spacing w:val="-3"/>
              </w:rPr>
              <w:t>采购预算</w:t>
            </w:r>
          </w:p>
        </w:tc>
        <w:tc>
          <w:tcPr>
            <w:tcW w:w="6670" w:type="dxa"/>
            <w:vAlign w:val="top"/>
          </w:tcPr>
          <w:p w14:paraId="2BDED342">
            <w:pPr>
              <w:pStyle w:val="7"/>
              <w:spacing w:before="187" w:line="219" w:lineRule="auto"/>
              <w:ind w:left="24"/>
            </w:pPr>
            <w:r>
              <w:rPr>
                <w:spacing w:val="-4"/>
              </w:rPr>
              <w:t>人民币</w:t>
            </w:r>
            <w:r>
              <w:rPr>
                <w:spacing w:val="-61"/>
              </w:rPr>
              <w:t xml:space="preserve"> </w:t>
            </w:r>
            <w:r>
              <w:rPr>
                <w:spacing w:val="-108"/>
                <w:u w:val="single" w:color="auto"/>
              </w:rPr>
              <w:t xml:space="preserve"> </w:t>
            </w:r>
            <w:r>
              <w:rPr>
                <w:rFonts w:hint="eastAsia"/>
                <w:spacing w:val="-4"/>
                <w:u w:val="single" w:color="auto"/>
                <w:lang w:val="en-US" w:eastAsia="zh-CN"/>
              </w:rPr>
              <w:t>1300</w:t>
            </w:r>
            <w:r>
              <w:rPr>
                <w:spacing w:val="-4"/>
                <w:u w:val="single" w:color="auto"/>
              </w:rPr>
              <w:t>00.00</w:t>
            </w:r>
            <w:r>
              <w:rPr>
                <w:spacing w:val="-56"/>
                <w:u w:val="single" w:color="auto"/>
              </w:rPr>
              <w:t xml:space="preserve"> </w:t>
            </w:r>
            <w:r>
              <w:rPr>
                <w:spacing w:val="-4"/>
              </w:rPr>
              <w:t>元</w:t>
            </w:r>
          </w:p>
          <w:p w14:paraId="43EDC21C">
            <w:pPr>
              <w:pStyle w:val="7"/>
              <w:spacing w:before="292" w:line="382" w:lineRule="auto"/>
              <w:ind w:left="22" w:right="19" w:hanging="2"/>
            </w:pPr>
            <w:r>
              <w:rPr>
                <w:spacing w:val="-4"/>
              </w:rPr>
              <w:t>仅指与本次采购标的直接相关的费用，前期勘察费、设计费等已发生的费用，以及监理费、接口费等为</w:t>
            </w:r>
            <w:r>
              <w:rPr>
                <w:spacing w:val="-5"/>
              </w:rPr>
              <w:t>未来预</w:t>
            </w:r>
            <w:r>
              <w:rPr>
                <w:spacing w:val="-4"/>
              </w:rPr>
              <w:t>留费用，不应当包含在本项目采购预算内，甲方</w:t>
            </w:r>
            <w:r>
              <w:rPr>
                <w:spacing w:val="-5"/>
              </w:rPr>
              <w:t>须向本</w:t>
            </w:r>
            <w:r>
              <w:rPr>
                <w:spacing w:val="-1"/>
              </w:rPr>
              <w:t>级财政部门经费业务处室申请办理经费剥离手续。</w:t>
            </w:r>
          </w:p>
        </w:tc>
      </w:tr>
      <w:tr w14:paraId="1C95D43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91" w:hRule="atLeast"/>
        </w:trPr>
        <w:tc>
          <w:tcPr>
            <w:tcW w:w="753" w:type="dxa"/>
            <w:vAlign w:val="top"/>
          </w:tcPr>
          <w:p w14:paraId="3EF4DD05">
            <w:pPr>
              <w:spacing w:line="358" w:lineRule="auto"/>
              <w:rPr>
                <w:rFonts w:ascii="Arial"/>
                <w:sz w:val="21"/>
              </w:rPr>
            </w:pPr>
          </w:p>
          <w:p w14:paraId="3A5AAB09">
            <w:pPr>
              <w:spacing w:line="359" w:lineRule="auto"/>
              <w:rPr>
                <w:rFonts w:ascii="Arial"/>
                <w:sz w:val="21"/>
              </w:rPr>
            </w:pPr>
          </w:p>
          <w:p w14:paraId="1C96FEE3">
            <w:pPr>
              <w:pStyle w:val="7"/>
              <w:spacing w:before="91" w:line="242" w:lineRule="auto"/>
              <w:ind w:left="318"/>
            </w:pPr>
            <w:r>
              <w:t>2</w:t>
            </w:r>
          </w:p>
        </w:tc>
        <w:tc>
          <w:tcPr>
            <w:tcW w:w="2091" w:type="dxa"/>
            <w:vAlign w:val="top"/>
          </w:tcPr>
          <w:p w14:paraId="71C517CC">
            <w:pPr>
              <w:spacing w:line="358" w:lineRule="auto"/>
              <w:rPr>
                <w:rFonts w:ascii="Arial"/>
                <w:sz w:val="21"/>
              </w:rPr>
            </w:pPr>
          </w:p>
          <w:p w14:paraId="58C01A63">
            <w:pPr>
              <w:spacing w:line="359" w:lineRule="auto"/>
              <w:rPr>
                <w:rFonts w:ascii="Arial"/>
                <w:sz w:val="21"/>
              </w:rPr>
            </w:pPr>
          </w:p>
          <w:p w14:paraId="50420DD4">
            <w:pPr>
              <w:pStyle w:val="7"/>
              <w:spacing w:before="91" w:line="219" w:lineRule="auto"/>
              <w:ind w:left="496"/>
            </w:pPr>
            <w:r>
              <w:rPr>
                <w:spacing w:val="-4"/>
              </w:rPr>
              <w:t>最高限价</w:t>
            </w:r>
          </w:p>
        </w:tc>
        <w:tc>
          <w:tcPr>
            <w:tcW w:w="6670" w:type="dxa"/>
            <w:vAlign w:val="top"/>
          </w:tcPr>
          <w:p w14:paraId="5A0F1AB8">
            <w:pPr>
              <w:pStyle w:val="7"/>
              <w:spacing w:before="189" w:line="219" w:lineRule="auto"/>
              <w:ind w:left="24"/>
            </w:pPr>
            <w:r>
              <w:rPr>
                <w:spacing w:val="-2"/>
              </w:rPr>
              <w:t>人民币</w:t>
            </w:r>
            <w:r>
              <w:rPr>
                <w:spacing w:val="-58"/>
              </w:rPr>
              <w:t xml:space="preserve"> </w:t>
            </w:r>
            <w:r>
              <w:rPr>
                <w:rFonts w:hint="eastAsia"/>
                <w:spacing w:val="-4"/>
                <w:u w:val="single" w:color="auto"/>
                <w:lang w:val="en-US" w:eastAsia="zh-CN"/>
              </w:rPr>
              <w:t>1300</w:t>
            </w:r>
            <w:r>
              <w:rPr>
                <w:spacing w:val="-4"/>
                <w:u w:val="single" w:color="auto"/>
              </w:rPr>
              <w:t>00.00</w:t>
            </w:r>
            <w:r>
              <w:rPr>
                <w:spacing w:val="-56"/>
                <w:u w:val="single" w:color="auto"/>
              </w:rPr>
              <w:t xml:space="preserve"> </w:t>
            </w:r>
            <w:r>
              <w:rPr>
                <w:spacing w:val="-58"/>
                <w:u w:val="single" w:color="auto"/>
              </w:rPr>
              <w:t xml:space="preserve"> </w:t>
            </w:r>
            <w:r>
              <w:rPr>
                <w:spacing w:val="-2"/>
              </w:rPr>
              <w:t>元</w:t>
            </w:r>
          </w:p>
          <w:p w14:paraId="67E1DF03">
            <w:pPr>
              <w:pStyle w:val="7"/>
              <w:spacing w:before="291" w:line="352" w:lineRule="auto"/>
              <w:ind w:left="28" w:right="211" w:hanging="6"/>
            </w:pPr>
            <w:r>
              <w:rPr>
                <w:spacing w:val="-1"/>
              </w:rPr>
              <w:t>供应商投标报价高于最高限价的则其投标文件将按无</w:t>
            </w:r>
            <w:r>
              <w:rPr>
                <w:spacing w:val="-3"/>
              </w:rPr>
              <w:t>效投标文件处理。</w:t>
            </w:r>
          </w:p>
        </w:tc>
      </w:tr>
      <w:tr w14:paraId="31C0B84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67" w:hRule="atLeast"/>
        </w:trPr>
        <w:tc>
          <w:tcPr>
            <w:tcW w:w="753" w:type="dxa"/>
            <w:vMerge w:val="restart"/>
            <w:tcBorders>
              <w:bottom w:val="nil"/>
            </w:tcBorders>
            <w:vAlign w:val="top"/>
          </w:tcPr>
          <w:p w14:paraId="4DC620AF">
            <w:pPr>
              <w:spacing w:line="253" w:lineRule="auto"/>
              <w:rPr>
                <w:rFonts w:ascii="Arial"/>
                <w:sz w:val="21"/>
              </w:rPr>
            </w:pPr>
          </w:p>
          <w:p w14:paraId="3BE045BD">
            <w:pPr>
              <w:spacing w:line="253" w:lineRule="auto"/>
              <w:rPr>
                <w:rFonts w:ascii="Arial"/>
                <w:sz w:val="21"/>
              </w:rPr>
            </w:pPr>
          </w:p>
          <w:p w14:paraId="0829464C">
            <w:pPr>
              <w:spacing w:line="253" w:lineRule="auto"/>
              <w:rPr>
                <w:rFonts w:ascii="Arial"/>
                <w:sz w:val="21"/>
              </w:rPr>
            </w:pPr>
          </w:p>
          <w:p w14:paraId="3D18727B">
            <w:pPr>
              <w:spacing w:line="253" w:lineRule="auto"/>
              <w:rPr>
                <w:rFonts w:ascii="Arial"/>
                <w:sz w:val="21"/>
              </w:rPr>
            </w:pPr>
          </w:p>
          <w:p w14:paraId="7689BB40">
            <w:pPr>
              <w:spacing w:line="253" w:lineRule="auto"/>
              <w:rPr>
                <w:rFonts w:ascii="Arial"/>
                <w:sz w:val="21"/>
              </w:rPr>
            </w:pPr>
          </w:p>
          <w:p w14:paraId="3E33A4B8">
            <w:pPr>
              <w:spacing w:line="253" w:lineRule="auto"/>
              <w:rPr>
                <w:rFonts w:ascii="Arial"/>
                <w:sz w:val="21"/>
              </w:rPr>
            </w:pPr>
          </w:p>
          <w:p w14:paraId="52FDB2DF">
            <w:pPr>
              <w:spacing w:line="254" w:lineRule="auto"/>
              <w:rPr>
                <w:rFonts w:ascii="Arial"/>
                <w:sz w:val="21"/>
              </w:rPr>
            </w:pPr>
          </w:p>
          <w:p w14:paraId="1DAFC620">
            <w:pPr>
              <w:spacing w:line="254" w:lineRule="auto"/>
              <w:rPr>
                <w:rFonts w:ascii="Arial"/>
                <w:sz w:val="21"/>
              </w:rPr>
            </w:pPr>
          </w:p>
          <w:p w14:paraId="38D8B6DD">
            <w:pPr>
              <w:spacing w:line="254" w:lineRule="auto"/>
              <w:rPr>
                <w:rFonts w:ascii="Arial"/>
                <w:sz w:val="21"/>
              </w:rPr>
            </w:pPr>
          </w:p>
          <w:p w14:paraId="2281ECB0">
            <w:pPr>
              <w:pStyle w:val="7"/>
              <w:spacing w:before="91"/>
              <w:ind w:left="320"/>
            </w:pPr>
            <w:r>
              <w:t>3</w:t>
            </w:r>
          </w:p>
        </w:tc>
        <w:tc>
          <w:tcPr>
            <w:tcW w:w="2091" w:type="dxa"/>
            <w:vMerge w:val="restart"/>
            <w:tcBorders>
              <w:bottom w:val="nil"/>
            </w:tcBorders>
            <w:vAlign w:val="top"/>
          </w:tcPr>
          <w:p w14:paraId="4C7C4311">
            <w:pPr>
              <w:spacing w:line="253" w:lineRule="auto"/>
              <w:rPr>
                <w:rFonts w:ascii="Arial"/>
                <w:sz w:val="21"/>
              </w:rPr>
            </w:pPr>
          </w:p>
          <w:p w14:paraId="1D1A742A">
            <w:pPr>
              <w:spacing w:line="253" w:lineRule="auto"/>
              <w:rPr>
                <w:rFonts w:ascii="Arial"/>
                <w:sz w:val="21"/>
              </w:rPr>
            </w:pPr>
          </w:p>
          <w:p w14:paraId="595CD21D">
            <w:pPr>
              <w:spacing w:line="253" w:lineRule="auto"/>
              <w:rPr>
                <w:rFonts w:ascii="Arial"/>
                <w:sz w:val="21"/>
              </w:rPr>
            </w:pPr>
          </w:p>
          <w:p w14:paraId="24B37E32">
            <w:pPr>
              <w:spacing w:line="253" w:lineRule="auto"/>
              <w:rPr>
                <w:rFonts w:ascii="Arial"/>
                <w:sz w:val="21"/>
              </w:rPr>
            </w:pPr>
          </w:p>
          <w:p w14:paraId="19ADA16D">
            <w:pPr>
              <w:spacing w:line="253" w:lineRule="auto"/>
              <w:rPr>
                <w:rFonts w:ascii="Arial"/>
                <w:sz w:val="21"/>
              </w:rPr>
            </w:pPr>
          </w:p>
          <w:p w14:paraId="1EF74443">
            <w:pPr>
              <w:spacing w:line="253" w:lineRule="auto"/>
              <w:rPr>
                <w:rFonts w:ascii="Arial"/>
                <w:sz w:val="21"/>
              </w:rPr>
            </w:pPr>
          </w:p>
          <w:p w14:paraId="31DF1589">
            <w:pPr>
              <w:spacing w:line="253" w:lineRule="auto"/>
              <w:rPr>
                <w:rFonts w:ascii="Arial"/>
                <w:sz w:val="21"/>
              </w:rPr>
            </w:pPr>
          </w:p>
          <w:p w14:paraId="6D395D63">
            <w:pPr>
              <w:spacing w:line="254" w:lineRule="auto"/>
              <w:rPr>
                <w:rFonts w:ascii="Arial"/>
                <w:sz w:val="21"/>
              </w:rPr>
            </w:pPr>
          </w:p>
          <w:p w14:paraId="1FBF3A7A">
            <w:pPr>
              <w:spacing w:line="254" w:lineRule="auto"/>
              <w:rPr>
                <w:rFonts w:ascii="Arial"/>
                <w:sz w:val="21"/>
              </w:rPr>
            </w:pPr>
          </w:p>
          <w:p w14:paraId="57CEDE7B">
            <w:pPr>
              <w:pStyle w:val="7"/>
              <w:spacing w:before="91" w:line="221" w:lineRule="auto"/>
              <w:ind w:left="498"/>
            </w:pPr>
            <w:r>
              <w:rPr>
                <w:spacing w:val="-4"/>
              </w:rPr>
              <w:t>项目性质</w:t>
            </w:r>
          </w:p>
        </w:tc>
        <w:tc>
          <w:tcPr>
            <w:tcW w:w="6670" w:type="dxa"/>
            <w:vAlign w:val="top"/>
          </w:tcPr>
          <w:p w14:paraId="3F01CE14">
            <w:pPr>
              <w:pStyle w:val="7"/>
              <w:spacing w:before="189" w:line="219" w:lineRule="auto"/>
              <w:ind w:left="46"/>
            </w:pPr>
            <w:r>
              <w:rPr>
                <w:spacing w:val="-4"/>
              </w:rPr>
              <w:t>●专门面向中小企业采购</w:t>
            </w:r>
          </w:p>
          <w:p w14:paraId="5ABB3129">
            <w:pPr>
              <w:pStyle w:val="7"/>
              <w:spacing w:before="291" w:line="220" w:lineRule="auto"/>
              <w:ind w:left="20"/>
            </w:pPr>
            <w:r>
              <w:rPr>
                <w:spacing w:val="-1"/>
              </w:rPr>
              <w:t>仅允许中小企业或小型、微型企业参与投标。</w:t>
            </w:r>
          </w:p>
        </w:tc>
      </w:tr>
      <w:tr w14:paraId="22B6818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62" w:hRule="atLeast"/>
        </w:trPr>
        <w:tc>
          <w:tcPr>
            <w:tcW w:w="753" w:type="dxa"/>
            <w:vMerge w:val="continue"/>
            <w:tcBorders>
              <w:top w:val="nil"/>
            </w:tcBorders>
            <w:vAlign w:val="top"/>
          </w:tcPr>
          <w:p w14:paraId="20AC2B58">
            <w:pPr>
              <w:rPr>
                <w:rFonts w:ascii="Arial"/>
                <w:sz w:val="21"/>
              </w:rPr>
            </w:pPr>
          </w:p>
        </w:tc>
        <w:tc>
          <w:tcPr>
            <w:tcW w:w="2091" w:type="dxa"/>
            <w:vMerge w:val="continue"/>
            <w:tcBorders>
              <w:top w:val="nil"/>
            </w:tcBorders>
            <w:vAlign w:val="top"/>
          </w:tcPr>
          <w:p w14:paraId="7D843A1E">
            <w:pPr>
              <w:rPr>
                <w:rFonts w:ascii="Arial"/>
                <w:sz w:val="21"/>
              </w:rPr>
            </w:pPr>
          </w:p>
        </w:tc>
        <w:tc>
          <w:tcPr>
            <w:tcW w:w="6670" w:type="dxa"/>
            <w:vAlign w:val="top"/>
          </w:tcPr>
          <w:p w14:paraId="243F69F5">
            <w:pPr>
              <w:pStyle w:val="7"/>
              <w:spacing w:before="192" w:line="219" w:lineRule="auto"/>
              <w:ind w:left="46"/>
            </w:pPr>
            <w:r>
              <w:rPr>
                <w:spacing w:val="-3"/>
              </w:rPr>
              <w:t>○非专门面向中小企业采购</w:t>
            </w:r>
          </w:p>
          <w:p w14:paraId="2560673B">
            <w:pPr>
              <w:pStyle w:val="7"/>
              <w:spacing w:before="293" w:line="387" w:lineRule="auto"/>
              <w:ind w:left="22" w:hanging="1"/>
            </w:pPr>
            <w:r>
              <w:rPr>
                <w:spacing w:val="-9"/>
              </w:rPr>
              <w:t>对符合《政府采购促进中小企业发展管理办法》</w:t>
            </w:r>
            <w:r>
              <w:rPr>
                <w:spacing w:val="-75"/>
              </w:rPr>
              <w:t xml:space="preserve"> </w:t>
            </w:r>
            <w:r>
              <w:rPr>
                <w:spacing w:val="-9"/>
              </w:rPr>
              <w:t>(财库</w:t>
            </w:r>
            <w:r>
              <w:rPr>
                <w:spacing w:val="-5"/>
              </w:rPr>
              <w:t>［</w:t>
            </w:r>
            <w:r>
              <w:fldChar w:fldCharType="begin"/>
            </w:r>
            <w:r>
              <w:instrText xml:space="preserve"> HYPERLINK \l "bookmark1" </w:instrText>
            </w:r>
            <w:r>
              <w:fldChar w:fldCharType="separate"/>
            </w:r>
            <w:r>
              <w:rPr>
                <w:spacing w:val="-5"/>
              </w:rPr>
              <w:t>2020</w:t>
            </w:r>
            <w:r>
              <w:rPr>
                <w:spacing w:val="-5"/>
              </w:rPr>
              <w:fldChar w:fldCharType="end"/>
            </w:r>
            <w:r>
              <w:rPr>
                <w:spacing w:val="-5"/>
              </w:rPr>
              <w:t>］46</w:t>
            </w:r>
            <w:r>
              <w:rPr>
                <w:spacing w:val="-54"/>
              </w:rPr>
              <w:t xml:space="preserve"> </w:t>
            </w:r>
            <w:r>
              <w:rPr>
                <w:spacing w:val="-5"/>
              </w:rPr>
              <w:t>号）规定的小微企业(监狱企业视同小型、</w:t>
            </w:r>
            <w:r>
              <w:rPr>
                <w:spacing w:val="-6"/>
              </w:rPr>
              <w:t>微型企业)的报价给予</w:t>
            </w:r>
            <w:r>
              <w:rPr>
                <w:spacing w:val="-56"/>
              </w:rPr>
              <w:t xml:space="preserve"> </w:t>
            </w:r>
            <w:r>
              <w:rPr>
                <w:spacing w:val="-6"/>
              </w:rPr>
              <w:t>3%（3%-5%）的扣除（当采</w:t>
            </w:r>
            <w:r>
              <w:rPr>
                <w:spacing w:val="-7"/>
              </w:rPr>
              <w:t>用招</w:t>
            </w:r>
            <w:r>
              <w:t xml:space="preserve"> </w:t>
            </w:r>
            <w:r>
              <w:rPr>
                <w:spacing w:val="-10"/>
              </w:rPr>
              <w:t>标方式时，实际上是对其价格分给予一定比例的增加</w:t>
            </w:r>
            <w:r>
              <w:rPr>
                <w:spacing w:val="-65"/>
              </w:rPr>
              <w:t>），</w:t>
            </w:r>
            <w:r>
              <w:rPr>
                <w:spacing w:val="-7"/>
              </w:rPr>
              <w:t>用扣除后的价格参加评审。</w:t>
            </w:r>
          </w:p>
        </w:tc>
      </w:tr>
    </w:tbl>
    <w:p w14:paraId="5C773FF8">
      <w:pPr>
        <w:rPr>
          <w:rFonts w:ascii="Arial"/>
          <w:sz w:val="21"/>
        </w:rPr>
      </w:pPr>
    </w:p>
    <w:p w14:paraId="7B1A56D1">
      <w:pPr>
        <w:rPr>
          <w:rFonts w:ascii="Arial" w:hAnsi="Arial" w:eastAsia="Arial" w:cs="Arial"/>
          <w:sz w:val="21"/>
          <w:szCs w:val="21"/>
        </w:rPr>
        <w:sectPr>
          <w:pgSz w:w="11906" w:h="16839"/>
          <w:pgMar w:top="1431" w:right="1402" w:bottom="0" w:left="984" w:header="0" w:footer="0" w:gutter="0"/>
          <w:cols w:space="720" w:num="1"/>
        </w:sectPr>
      </w:pPr>
    </w:p>
    <w:tbl>
      <w:tblPr>
        <w:tblStyle w:val="6"/>
        <w:tblW w:w="966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53"/>
        <w:gridCol w:w="2091"/>
        <w:gridCol w:w="6818"/>
      </w:tblGrid>
      <w:tr w14:paraId="3718715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753" w:type="dxa"/>
            <w:vMerge w:val="restart"/>
            <w:tcBorders>
              <w:bottom w:val="nil"/>
            </w:tcBorders>
            <w:vAlign w:val="top"/>
          </w:tcPr>
          <w:p w14:paraId="73194363">
            <w:pPr>
              <w:spacing w:line="242" w:lineRule="auto"/>
              <w:rPr>
                <w:rFonts w:ascii="Arial"/>
                <w:sz w:val="21"/>
              </w:rPr>
            </w:pPr>
          </w:p>
          <w:p w14:paraId="6197A134">
            <w:pPr>
              <w:spacing w:line="242" w:lineRule="auto"/>
              <w:rPr>
                <w:rFonts w:ascii="Arial"/>
                <w:sz w:val="21"/>
              </w:rPr>
            </w:pPr>
          </w:p>
          <w:p w14:paraId="3DA9A36F">
            <w:pPr>
              <w:spacing w:line="242" w:lineRule="auto"/>
              <w:rPr>
                <w:rFonts w:ascii="Arial"/>
                <w:sz w:val="21"/>
              </w:rPr>
            </w:pPr>
          </w:p>
          <w:p w14:paraId="19E366F6">
            <w:pPr>
              <w:spacing w:line="242" w:lineRule="auto"/>
              <w:rPr>
                <w:rFonts w:ascii="Arial"/>
                <w:sz w:val="21"/>
              </w:rPr>
            </w:pPr>
          </w:p>
          <w:p w14:paraId="54094CC5">
            <w:pPr>
              <w:spacing w:line="242" w:lineRule="auto"/>
              <w:rPr>
                <w:rFonts w:ascii="Arial"/>
                <w:sz w:val="21"/>
              </w:rPr>
            </w:pPr>
          </w:p>
          <w:p w14:paraId="1231292B">
            <w:pPr>
              <w:spacing w:line="242" w:lineRule="auto"/>
              <w:rPr>
                <w:rFonts w:ascii="Arial"/>
                <w:sz w:val="21"/>
              </w:rPr>
            </w:pPr>
          </w:p>
          <w:p w14:paraId="33C793D9">
            <w:pPr>
              <w:spacing w:line="242" w:lineRule="auto"/>
              <w:rPr>
                <w:rFonts w:ascii="Arial"/>
                <w:sz w:val="21"/>
              </w:rPr>
            </w:pPr>
          </w:p>
          <w:p w14:paraId="4DF4306D">
            <w:pPr>
              <w:spacing w:line="242" w:lineRule="auto"/>
              <w:rPr>
                <w:rFonts w:ascii="Arial"/>
                <w:sz w:val="21"/>
              </w:rPr>
            </w:pPr>
          </w:p>
          <w:p w14:paraId="6D75C8C7">
            <w:pPr>
              <w:spacing w:line="242" w:lineRule="auto"/>
              <w:rPr>
                <w:rFonts w:ascii="Arial"/>
                <w:sz w:val="21"/>
              </w:rPr>
            </w:pPr>
          </w:p>
          <w:p w14:paraId="35D4244D">
            <w:pPr>
              <w:spacing w:line="242" w:lineRule="auto"/>
              <w:rPr>
                <w:rFonts w:ascii="Arial"/>
                <w:sz w:val="21"/>
              </w:rPr>
            </w:pPr>
          </w:p>
          <w:p w14:paraId="4199DEF9">
            <w:pPr>
              <w:spacing w:line="242" w:lineRule="auto"/>
              <w:rPr>
                <w:rFonts w:ascii="Arial"/>
                <w:sz w:val="21"/>
              </w:rPr>
            </w:pPr>
          </w:p>
          <w:p w14:paraId="456CDCA1">
            <w:pPr>
              <w:spacing w:line="242" w:lineRule="auto"/>
              <w:rPr>
                <w:rFonts w:ascii="Arial"/>
                <w:sz w:val="21"/>
              </w:rPr>
            </w:pPr>
          </w:p>
          <w:p w14:paraId="4E7AA877">
            <w:pPr>
              <w:spacing w:line="242" w:lineRule="auto"/>
              <w:rPr>
                <w:rFonts w:ascii="Arial"/>
                <w:sz w:val="21"/>
              </w:rPr>
            </w:pPr>
          </w:p>
          <w:p w14:paraId="3F3F1B9A">
            <w:pPr>
              <w:spacing w:line="242" w:lineRule="auto"/>
              <w:rPr>
                <w:rFonts w:ascii="Arial"/>
                <w:sz w:val="21"/>
              </w:rPr>
            </w:pPr>
          </w:p>
          <w:p w14:paraId="193060D3">
            <w:pPr>
              <w:spacing w:line="242" w:lineRule="auto"/>
              <w:rPr>
                <w:rFonts w:ascii="Arial"/>
                <w:sz w:val="21"/>
              </w:rPr>
            </w:pPr>
          </w:p>
          <w:p w14:paraId="3FCA31C7">
            <w:pPr>
              <w:spacing w:line="242" w:lineRule="auto"/>
              <w:rPr>
                <w:rFonts w:ascii="Arial"/>
                <w:sz w:val="21"/>
              </w:rPr>
            </w:pPr>
          </w:p>
          <w:p w14:paraId="122EBFD0">
            <w:pPr>
              <w:spacing w:line="242" w:lineRule="auto"/>
              <w:rPr>
                <w:rFonts w:ascii="Arial"/>
                <w:sz w:val="21"/>
              </w:rPr>
            </w:pPr>
          </w:p>
          <w:p w14:paraId="6D2E600E">
            <w:pPr>
              <w:spacing w:line="242" w:lineRule="auto"/>
              <w:rPr>
                <w:rFonts w:ascii="Arial"/>
                <w:sz w:val="21"/>
              </w:rPr>
            </w:pPr>
          </w:p>
          <w:p w14:paraId="37641832">
            <w:pPr>
              <w:spacing w:line="242" w:lineRule="auto"/>
              <w:rPr>
                <w:rFonts w:ascii="Arial"/>
                <w:sz w:val="21"/>
              </w:rPr>
            </w:pPr>
          </w:p>
          <w:p w14:paraId="4CA5130B">
            <w:pPr>
              <w:spacing w:line="242" w:lineRule="auto"/>
              <w:rPr>
                <w:rFonts w:ascii="Arial"/>
                <w:sz w:val="21"/>
              </w:rPr>
            </w:pPr>
          </w:p>
          <w:p w14:paraId="17097BCD">
            <w:pPr>
              <w:spacing w:line="243" w:lineRule="auto"/>
              <w:rPr>
                <w:rFonts w:ascii="Arial"/>
                <w:sz w:val="21"/>
              </w:rPr>
            </w:pPr>
          </w:p>
          <w:p w14:paraId="7DF3E297">
            <w:pPr>
              <w:spacing w:line="243" w:lineRule="auto"/>
              <w:rPr>
                <w:rFonts w:ascii="Arial"/>
                <w:sz w:val="21"/>
              </w:rPr>
            </w:pPr>
          </w:p>
          <w:p w14:paraId="102542B6">
            <w:pPr>
              <w:spacing w:line="243" w:lineRule="auto"/>
              <w:rPr>
                <w:rFonts w:ascii="Arial"/>
                <w:sz w:val="21"/>
              </w:rPr>
            </w:pPr>
          </w:p>
          <w:p w14:paraId="384FF375">
            <w:pPr>
              <w:spacing w:line="243" w:lineRule="auto"/>
              <w:rPr>
                <w:rFonts w:ascii="Arial"/>
                <w:sz w:val="21"/>
              </w:rPr>
            </w:pPr>
          </w:p>
          <w:p w14:paraId="41362D77">
            <w:pPr>
              <w:spacing w:line="243" w:lineRule="auto"/>
              <w:rPr>
                <w:rFonts w:ascii="Arial"/>
                <w:sz w:val="21"/>
              </w:rPr>
            </w:pPr>
          </w:p>
          <w:p w14:paraId="0F05E210">
            <w:pPr>
              <w:spacing w:line="243" w:lineRule="auto"/>
              <w:rPr>
                <w:rFonts w:ascii="Arial"/>
                <w:sz w:val="21"/>
              </w:rPr>
            </w:pPr>
          </w:p>
          <w:p w14:paraId="34054927">
            <w:pPr>
              <w:pStyle w:val="7"/>
              <w:spacing w:before="91"/>
              <w:ind w:left="317"/>
              <w:rPr>
                <w:rFonts w:hint="eastAsia" w:eastAsia="宋体"/>
                <w:lang w:eastAsia="zh-CN"/>
              </w:rPr>
            </w:pPr>
            <w:r>
              <w:rPr>
                <w:rFonts w:hint="eastAsia"/>
                <w:lang w:val="en-US" w:eastAsia="zh-CN"/>
              </w:rPr>
              <w:t>4</w:t>
            </w:r>
          </w:p>
        </w:tc>
        <w:tc>
          <w:tcPr>
            <w:tcW w:w="2091" w:type="dxa"/>
            <w:vMerge w:val="restart"/>
            <w:tcBorders>
              <w:bottom w:val="nil"/>
            </w:tcBorders>
            <w:vAlign w:val="top"/>
          </w:tcPr>
          <w:p w14:paraId="1AD662C5">
            <w:pPr>
              <w:spacing w:line="249" w:lineRule="auto"/>
              <w:rPr>
                <w:rFonts w:ascii="Arial"/>
                <w:sz w:val="21"/>
              </w:rPr>
            </w:pPr>
          </w:p>
          <w:p w14:paraId="153882BB">
            <w:pPr>
              <w:spacing w:line="249" w:lineRule="auto"/>
              <w:rPr>
                <w:rFonts w:ascii="Arial"/>
                <w:sz w:val="21"/>
              </w:rPr>
            </w:pPr>
          </w:p>
          <w:p w14:paraId="76E4974F">
            <w:pPr>
              <w:spacing w:line="249" w:lineRule="auto"/>
              <w:rPr>
                <w:rFonts w:ascii="Arial"/>
                <w:sz w:val="21"/>
              </w:rPr>
            </w:pPr>
          </w:p>
          <w:p w14:paraId="685E1FA9">
            <w:pPr>
              <w:spacing w:line="249" w:lineRule="auto"/>
              <w:rPr>
                <w:rFonts w:ascii="Arial"/>
                <w:sz w:val="21"/>
              </w:rPr>
            </w:pPr>
          </w:p>
          <w:p w14:paraId="49FC4306">
            <w:pPr>
              <w:spacing w:line="249" w:lineRule="auto"/>
              <w:rPr>
                <w:rFonts w:ascii="Arial"/>
                <w:sz w:val="21"/>
              </w:rPr>
            </w:pPr>
          </w:p>
          <w:p w14:paraId="23F819E2">
            <w:pPr>
              <w:spacing w:line="249" w:lineRule="auto"/>
              <w:rPr>
                <w:rFonts w:ascii="Arial"/>
                <w:sz w:val="21"/>
              </w:rPr>
            </w:pPr>
          </w:p>
          <w:p w14:paraId="4FCA7C39">
            <w:pPr>
              <w:spacing w:line="249" w:lineRule="auto"/>
              <w:rPr>
                <w:rFonts w:ascii="Arial"/>
                <w:sz w:val="21"/>
              </w:rPr>
            </w:pPr>
          </w:p>
          <w:p w14:paraId="3E610424">
            <w:pPr>
              <w:spacing w:line="249" w:lineRule="auto"/>
              <w:rPr>
                <w:rFonts w:ascii="Arial"/>
                <w:sz w:val="21"/>
              </w:rPr>
            </w:pPr>
          </w:p>
          <w:p w14:paraId="3D33DDA2">
            <w:pPr>
              <w:spacing w:line="249" w:lineRule="auto"/>
              <w:rPr>
                <w:rFonts w:ascii="Arial"/>
                <w:sz w:val="21"/>
              </w:rPr>
            </w:pPr>
          </w:p>
          <w:p w14:paraId="5BE80CE4">
            <w:pPr>
              <w:spacing w:line="249" w:lineRule="auto"/>
              <w:rPr>
                <w:rFonts w:ascii="Arial"/>
                <w:sz w:val="21"/>
              </w:rPr>
            </w:pPr>
          </w:p>
          <w:p w14:paraId="2890BF86">
            <w:pPr>
              <w:spacing w:line="249" w:lineRule="auto"/>
              <w:rPr>
                <w:rFonts w:ascii="Arial"/>
                <w:sz w:val="21"/>
              </w:rPr>
            </w:pPr>
          </w:p>
          <w:p w14:paraId="62CB6BAB">
            <w:pPr>
              <w:spacing w:line="250" w:lineRule="auto"/>
              <w:rPr>
                <w:rFonts w:ascii="Arial"/>
                <w:sz w:val="21"/>
              </w:rPr>
            </w:pPr>
          </w:p>
          <w:p w14:paraId="0E51BDAD">
            <w:pPr>
              <w:spacing w:line="250" w:lineRule="auto"/>
              <w:rPr>
                <w:rFonts w:ascii="Arial"/>
                <w:sz w:val="21"/>
              </w:rPr>
            </w:pPr>
          </w:p>
          <w:p w14:paraId="2751C4F5">
            <w:pPr>
              <w:spacing w:line="250" w:lineRule="auto"/>
              <w:rPr>
                <w:rFonts w:ascii="Arial"/>
                <w:sz w:val="21"/>
              </w:rPr>
            </w:pPr>
          </w:p>
          <w:p w14:paraId="6F873B48">
            <w:pPr>
              <w:spacing w:line="250" w:lineRule="auto"/>
              <w:rPr>
                <w:rFonts w:ascii="Arial"/>
                <w:sz w:val="21"/>
              </w:rPr>
            </w:pPr>
          </w:p>
          <w:p w14:paraId="113FED2E">
            <w:pPr>
              <w:spacing w:line="250" w:lineRule="auto"/>
              <w:rPr>
                <w:rFonts w:ascii="Arial"/>
                <w:sz w:val="21"/>
              </w:rPr>
            </w:pPr>
          </w:p>
          <w:p w14:paraId="03E54B32">
            <w:pPr>
              <w:spacing w:line="250" w:lineRule="auto"/>
              <w:rPr>
                <w:rFonts w:ascii="Arial"/>
                <w:sz w:val="21"/>
              </w:rPr>
            </w:pPr>
          </w:p>
          <w:p w14:paraId="2F596AB3">
            <w:pPr>
              <w:spacing w:line="250" w:lineRule="auto"/>
              <w:rPr>
                <w:rFonts w:ascii="Arial"/>
                <w:sz w:val="21"/>
              </w:rPr>
            </w:pPr>
          </w:p>
          <w:p w14:paraId="73031763">
            <w:pPr>
              <w:spacing w:line="250" w:lineRule="auto"/>
              <w:rPr>
                <w:rFonts w:ascii="Arial"/>
                <w:sz w:val="21"/>
              </w:rPr>
            </w:pPr>
          </w:p>
          <w:p w14:paraId="43E84179">
            <w:pPr>
              <w:spacing w:line="250" w:lineRule="auto"/>
              <w:rPr>
                <w:rFonts w:ascii="Arial"/>
                <w:sz w:val="21"/>
              </w:rPr>
            </w:pPr>
          </w:p>
          <w:p w14:paraId="4B222869">
            <w:pPr>
              <w:spacing w:line="250" w:lineRule="auto"/>
              <w:rPr>
                <w:rFonts w:ascii="Arial"/>
                <w:sz w:val="21"/>
              </w:rPr>
            </w:pPr>
          </w:p>
          <w:p w14:paraId="3D16938B">
            <w:pPr>
              <w:spacing w:line="250" w:lineRule="auto"/>
              <w:rPr>
                <w:rFonts w:ascii="Arial"/>
                <w:sz w:val="21"/>
              </w:rPr>
            </w:pPr>
          </w:p>
          <w:p w14:paraId="4372EC85">
            <w:pPr>
              <w:spacing w:line="250" w:lineRule="auto"/>
              <w:rPr>
                <w:rFonts w:ascii="Arial"/>
                <w:sz w:val="21"/>
              </w:rPr>
            </w:pPr>
          </w:p>
          <w:p w14:paraId="0F8E274F">
            <w:pPr>
              <w:spacing w:line="250" w:lineRule="auto"/>
              <w:rPr>
                <w:rFonts w:ascii="Arial"/>
                <w:sz w:val="21"/>
              </w:rPr>
            </w:pPr>
          </w:p>
          <w:p w14:paraId="3B918F31">
            <w:pPr>
              <w:pStyle w:val="7"/>
              <w:spacing w:before="91" w:line="413" w:lineRule="auto"/>
              <w:ind w:left="504" w:right="343" w:hanging="154"/>
            </w:pPr>
            <w:r>
              <w:rPr>
                <w:spacing w:val="-2"/>
              </w:rPr>
              <w:t>对供应商的</w:t>
            </w:r>
            <w:r>
              <w:rPr>
                <w:spacing w:val="-6"/>
              </w:rPr>
              <w:t>资格要求</w:t>
            </w:r>
          </w:p>
        </w:tc>
        <w:tc>
          <w:tcPr>
            <w:tcW w:w="6818" w:type="dxa"/>
            <w:tcBorders>
              <w:bottom w:val="single" w:color="000000" w:sz="4" w:space="0"/>
            </w:tcBorders>
            <w:vAlign w:val="top"/>
          </w:tcPr>
          <w:p w14:paraId="1F6350B0">
            <w:pPr>
              <w:pStyle w:val="7"/>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left="0" w:leftChars="0"/>
              <w:textAlignment w:val="baseline"/>
              <w:rPr>
                <w:spacing w:val="1"/>
                <w:u w:val="single" w:color="auto"/>
              </w:rPr>
            </w:pPr>
            <w:r>
              <w:rPr>
                <w:rFonts w:ascii="宋体" w:hAnsi="宋体" w:eastAsia="宋体" w:cs="宋体"/>
                <w:snapToGrid w:val="0"/>
                <w:color w:val="000000"/>
                <w:spacing w:val="1"/>
                <w:kern w:val="0"/>
                <w:sz w:val="28"/>
                <w:szCs w:val="28"/>
                <w:u w:val="single" w:color="auto"/>
                <w:lang w:val="en-US" w:eastAsia="en-US" w:bidi="ar-SA"/>
              </w:rPr>
              <w:t>（1）</w:t>
            </w:r>
            <w:r>
              <w:rPr>
                <w:spacing w:val="-10"/>
                <w:u w:val="single" w:color="auto"/>
              </w:rPr>
              <w:t>根据投标供应商类别进行提供：</w:t>
            </w:r>
            <w:r>
              <w:rPr>
                <w:spacing w:val="-3"/>
                <w:u w:val="single" w:color="auto"/>
              </w:rPr>
              <w:t>①如供应商是企业（包括合伙企业</w:t>
            </w:r>
            <w:r>
              <w:rPr>
                <w:spacing w:val="-16"/>
                <w:u w:val="single" w:color="auto"/>
              </w:rPr>
              <w:t>），</w:t>
            </w:r>
            <w:r>
              <w:rPr>
                <w:spacing w:val="-3"/>
                <w:u w:val="single" w:color="auto"/>
              </w:rPr>
              <w:t>应提供在工商部</w:t>
            </w:r>
            <w:r>
              <w:rPr>
                <w:spacing w:val="-8"/>
                <w:u w:val="single" w:color="auto"/>
              </w:rPr>
              <w:t>门注册的有效“企业法人营业执照</w:t>
            </w:r>
            <w:r>
              <w:rPr>
                <w:spacing w:val="-102"/>
                <w:u w:val="single" w:color="auto"/>
              </w:rPr>
              <w:t xml:space="preserve"> </w:t>
            </w:r>
            <w:r>
              <w:rPr>
                <w:spacing w:val="-8"/>
                <w:u w:val="single" w:color="auto"/>
              </w:rPr>
              <w:t>”或“营业执照</w:t>
            </w:r>
            <w:r>
              <w:rPr>
                <w:spacing w:val="-103"/>
                <w:u w:val="single" w:color="auto"/>
              </w:rPr>
              <w:t xml:space="preserve"> </w:t>
            </w:r>
            <w:r>
              <w:rPr>
                <w:spacing w:val="-8"/>
                <w:u w:val="single" w:color="auto"/>
              </w:rPr>
              <w:t>”；</w:t>
            </w:r>
            <w:r>
              <w:rPr>
                <w:spacing w:val="-4"/>
                <w:u w:val="single" w:color="auto"/>
              </w:rPr>
              <w:t>②如供应商是事业单位，应提供有效的“事业单位法人</w:t>
            </w:r>
            <w:r>
              <w:rPr>
                <w:spacing w:val="-6"/>
                <w:u w:val="single" w:color="auto"/>
              </w:rPr>
              <w:t>证书</w:t>
            </w:r>
            <w:r>
              <w:rPr>
                <w:spacing w:val="-93"/>
                <w:u w:val="single" w:color="auto"/>
              </w:rPr>
              <w:t xml:space="preserve"> </w:t>
            </w:r>
            <w:r>
              <w:rPr>
                <w:spacing w:val="-6"/>
                <w:u w:val="single" w:color="auto"/>
              </w:rPr>
              <w:t>”；③如供应商是为企业专业服务机构的，应提供</w:t>
            </w:r>
            <w:r>
              <w:rPr>
                <w:spacing w:val="-4"/>
                <w:u w:val="single" w:color="auto"/>
              </w:rPr>
              <w:t>执业许可证等证明文件；④如供应商是个体工商户，应</w:t>
            </w:r>
            <w:r>
              <w:rPr>
                <w:spacing w:val="-6"/>
                <w:u w:val="single" w:color="auto"/>
              </w:rPr>
              <w:t>提供有效的“个体工商户营业执照</w:t>
            </w:r>
            <w:r>
              <w:rPr>
                <w:spacing w:val="-94"/>
                <w:u w:val="single" w:color="auto"/>
              </w:rPr>
              <w:t xml:space="preserve"> </w:t>
            </w:r>
            <w:r>
              <w:rPr>
                <w:spacing w:val="-6"/>
                <w:u w:val="single" w:color="auto"/>
              </w:rPr>
              <w:t>”；⑤如供应商为自</w:t>
            </w:r>
            <w:r>
              <w:rPr>
                <w:spacing w:val="1"/>
                <w:u w:val="single" w:color="auto"/>
              </w:rPr>
              <w:t>然人，提供有效的自然人身份证明。</w:t>
            </w:r>
          </w:p>
          <w:p w14:paraId="09E6D538">
            <w:pPr>
              <w:pStyle w:val="7"/>
              <w:keepNext w:val="0"/>
              <w:keepLines w:val="0"/>
              <w:pageBreakBefore w:val="0"/>
              <w:widowControl/>
              <w:kinsoku w:val="0"/>
              <w:wordWrap/>
              <w:overflowPunct/>
              <w:topLinePunct w:val="0"/>
              <w:autoSpaceDE w:val="0"/>
              <w:autoSpaceDN w:val="0"/>
              <w:bidi w:val="0"/>
              <w:adjustRightInd w:val="0"/>
              <w:snapToGrid w:val="0"/>
              <w:spacing w:line="360" w:lineRule="auto"/>
              <w:ind w:left="0"/>
              <w:textAlignment w:val="baseline"/>
              <w:rPr>
                <w:spacing w:val="20"/>
                <w:u w:val="single" w:color="auto"/>
              </w:rPr>
            </w:pPr>
            <w:r>
              <w:rPr>
                <w:spacing w:val="-3"/>
                <w:u w:val="single" w:color="auto"/>
              </w:rPr>
              <w:t>(2)提供</w:t>
            </w:r>
            <w:r>
              <w:rPr>
                <w:spacing w:val="-41"/>
                <w:u w:val="single" w:color="auto"/>
              </w:rPr>
              <w:t xml:space="preserve"> </w:t>
            </w:r>
            <w:r>
              <w:rPr>
                <w:spacing w:val="-3"/>
                <w:u w:val="single" w:color="auto"/>
              </w:rPr>
              <w:t>2025</w:t>
            </w:r>
            <w:r>
              <w:rPr>
                <w:spacing w:val="-55"/>
                <w:u w:val="single" w:color="auto"/>
              </w:rPr>
              <w:t xml:space="preserve"> </w:t>
            </w:r>
            <w:r>
              <w:rPr>
                <w:spacing w:val="-3"/>
                <w:u w:val="single" w:color="auto"/>
              </w:rPr>
              <w:t>年度经审计的财务报告（成立</w:t>
            </w:r>
            <w:r>
              <w:rPr>
                <w:spacing w:val="7"/>
                <w:u w:val="single" w:color="auto"/>
              </w:rPr>
              <w:t>时间至提交投标文件截止时间不足一年的可提供成立</w:t>
            </w:r>
            <w:r>
              <w:rPr>
                <w:spacing w:val="-2"/>
                <w:u w:val="single" w:color="auto"/>
              </w:rPr>
              <w:t>后任意时段的资产负债表</w:t>
            </w:r>
            <w:r>
              <w:rPr>
                <w:spacing w:val="-38"/>
                <w:u w:val="single" w:color="auto"/>
              </w:rPr>
              <w:t>），</w:t>
            </w:r>
            <w:r>
              <w:rPr>
                <w:spacing w:val="-2"/>
                <w:u w:val="single" w:color="auto"/>
              </w:rPr>
              <w:t>或投标截止时间前</w:t>
            </w:r>
            <w:r>
              <w:rPr>
                <w:spacing w:val="-57"/>
                <w:u w:val="single" w:color="auto"/>
              </w:rPr>
              <w:t xml:space="preserve"> </w:t>
            </w:r>
            <w:r>
              <w:rPr>
                <w:spacing w:val="-3"/>
                <w:u w:val="single" w:color="auto"/>
              </w:rPr>
              <w:t>6</w:t>
            </w:r>
            <w:r>
              <w:rPr>
                <w:spacing w:val="-61"/>
                <w:u w:val="single" w:color="auto"/>
              </w:rPr>
              <w:t xml:space="preserve"> </w:t>
            </w:r>
            <w:r>
              <w:rPr>
                <w:spacing w:val="-3"/>
                <w:u w:val="single" w:color="auto"/>
              </w:rPr>
              <w:t>个月</w:t>
            </w:r>
            <w:r>
              <w:rPr>
                <w:spacing w:val="-6"/>
                <w:u w:val="single" w:color="auto"/>
              </w:rPr>
              <w:t>内银行出具的资信证明，或信用担保机构出具的投标担</w:t>
            </w:r>
            <w:r>
              <w:rPr>
                <w:spacing w:val="-1"/>
                <w:u w:val="single" w:color="auto"/>
              </w:rPr>
              <w:t>保函（以上三种形式的资料任何一种即可</w:t>
            </w:r>
            <w:r>
              <w:rPr>
                <w:spacing w:val="20"/>
                <w:u w:val="single" w:color="auto"/>
              </w:rPr>
              <w:t>）；</w:t>
            </w:r>
          </w:p>
          <w:p w14:paraId="21A49BE6">
            <w:pPr>
              <w:pStyle w:val="7"/>
              <w:keepNext w:val="0"/>
              <w:keepLines w:val="0"/>
              <w:pageBreakBefore w:val="0"/>
              <w:widowControl/>
              <w:kinsoku w:val="0"/>
              <w:wordWrap/>
              <w:overflowPunct/>
              <w:topLinePunct w:val="0"/>
              <w:autoSpaceDE w:val="0"/>
              <w:autoSpaceDN w:val="0"/>
              <w:bidi w:val="0"/>
              <w:adjustRightInd w:val="0"/>
              <w:snapToGrid w:val="0"/>
              <w:spacing w:line="360" w:lineRule="auto"/>
              <w:ind w:left="0"/>
              <w:textAlignment w:val="baseline"/>
              <w:rPr>
                <w:u w:val="single" w:color="auto"/>
              </w:rPr>
            </w:pPr>
            <w:r>
              <w:rPr>
                <w:spacing w:val="-2"/>
                <w:u w:val="single" w:color="auto"/>
              </w:rPr>
              <w:t>(3)提供响应文件递交截止日前</w:t>
            </w:r>
            <w:r>
              <w:rPr>
                <w:spacing w:val="-42"/>
                <w:u w:val="single" w:color="auto"/>
              </w:rPr>
              <w:t xml:space="preserve"> </w:t>
            </w:r>
            <w:r>
              <w:rPr>
                <w:spacing w:val="-2"/>
                <w:u w:val="single" w:color="auto"/>
              </w:rPr>
              <w:t>6</w:t>
            </w:r>
            <w:r>
              <w:rPr>
                <w:spacing w:val="-59"/>
                <w:u w:val="single" w:color="auto"/>
              </w:rPr>
              <w:t xml:space="preserve"> </w:t>
            </w:r>
            <w:r>
              <w:rPr>
                <w:spacing w:val="-2"/>
                <w:u w:val="single" w:color="auto"/>
              </w:rPr>
              <w:t>个月内已缴纳的至少</w:t>
            </w:r>
            <w:r>
              <w:rPr>
                <w:spacing w:val="-5"/>
                <w:u w:val="single" w:color="auto"/>
              </w:rPr>
              <w:t>一个月的纳税证明或完税证明，依法免税的单位应提供</w:t>
            </w:r>
            <w:r>
              <w:rPr>
                <w:spacing w:val="-2"/>
                <w:u w:val="single" w:color="auto"/>
              </w:rPr>
              <w:t>相关证明材料；</w:t>
            </w:r>
          </w:p>
          <w:p w14:paraId="2BF381D1">
            <w:pPr>
              <w:pStyle w:val="7"/>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left="0" w:leftChars="0"/>
              <w:textAlignment w:val="baseline"/>
              <w:rPr>
                <w:rFonts w:hint="eastAsia" w:ascii="宋体" w:hAnsi="宋体" w:eastAsia="宋体" w:cs="宋体"/>
                <w:b w:val="0"/>
                <w:bCs w:val="0"/>
                <w:color w:val="000000"/>
                <w:sz w:val="28"/>
                <w:szCs w:val="28"/>
                <w:u w:val="single" w:color="auto"/>
              </w:rPr>
            </w:pPr>
            <w:r>
              <w:rPr>
                <w:rFonts w:hint="eastAsia" w:ascii="宋体" w:hAnsi="宋体" w:eastAsia="宋体" w:cs="宋体"/>
                <w:b w:val="0"/>
                <w:bCs w:val="0"/>
                <w:snapToGrid w:val="0"/>
                <w:color w:val="000000"/>
                <w:kern w:val="0"/>
                <w:sz w:val="28"/>
                <w:szCs w:val="28"/>
                <w:u w:val="single" w:color="auto"/>
                <w:lang w:val="en-US" w:eastAsia="en-US" w:bidi="ar-SA"/>
              </w:rPr>
              <w:t>(4)</w:t>
            </w:r>
            <w:r>
              <w:rPr>
                <w:spacing w:val="-2"/>
                <w:u w:val="single" w:color="auto"/>
              </w:rPr>
              <w:t>提供响应文件递交截止日前</w:t>
            </w:r>
            <w:r>
              <w:rPr>
                <w:spacing w:val="-42"/>
                <w:u w:val="single" w:color="auto"/>
              </w:rPr>
              <w:t xml:space="preserve"> </w:t>
            </w:r>
            <w:r>
              <w:rPr>
                <w:spacing w:val="-2"/>
                <w:u w:val="single" w:color="auto"/>
              </w:rPr>
              <w:t>6</w:t>
            </w:r>
            <w:r>
              <w:rPr>
                <w:spacing w:val="-59"/>
                <w:u w:val="single" w:color="auto"/>
              </w:rPr>
              <w:t xml:space="preserve"> </w:t>
            </w:r>
            <w:r>
              <w:rPr>
                <w:spacing w:val="-2"/>
                <w:u w:val="single" w:color="auto"/>
              </w:rPr>
              <w:t>个月内已缴存的至少</w:t>
            </w:r>
            <w:r>
              <w:rPr>
                <w:spacing w:val="7"/>
                <w:u w:val="single" w:color="auto"/>
              </w:rPr>
              <w:t>一个月的社会保障资金缴存单据或社保机构开具的社</w:t>
            </w:r>
            <w:r>
              <w:rPr>
                <w:spacing w:val="-4"/>
                <w:u w:val="single" w:color="auto"/>
              </w:rPr>
              <w:t>会保险参保缴费情况证明，依法不需要缴纳社会保障资</w:t>
            </w:r>
            <w:r>
              <w:rPr>
                <w:rFonts w:hint="eastAsia" w:ascii="宋体" w:hAnsi="宋体" w:eastAsia="宋体" w:cs="宋体"/>
                <w:b w:val="0"/>
                <w:bCs w:val="0"/>
                <w:color w:val="000000"/>
                <w:sz w:val="28"/>
                <w:szCs w:val="28"/>
                <w:u w:val="single" w:color="auto"/>
              </w:rPr>
              <w:t>资金的单位应提供相关证明材料；</w:t>
            </w:r>
          </w:p>
          <w:p w14:paraId="5F569368">
            <w:pPr>
              <w:pStyle w:val="7"/>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left="0" w:leftChars="0"/>
              <w:textAlignment w:val="baseline"/>
              <w:rPr>
                <w:spacing w:val="-4"/>
                <w:u w:val="single" w:color="auto"/>
              </w:rPr>
            </w:pPr>
            <w:r>
              <w:rPr>
                <w:rFonts w:ascii="宋体" w:hAnsi="宋体" w:eastAsia="宋体" w:cs="宋体"/>
                <w:snapToGrid w:val="0"/>
                <w:color w:val="000000"/>
                <w:kern w:val="0"/>
                <w:sz w:val="28"/>
                <w:szCs w:val="28"/>
                <w:u w:val="single" w:color="auto"/>
                <w:lang w:val="en-US" w:eastAsia="en-US" w:bidi="ar-SA"/>
              </w:rPr>
              <w:t>(5)</w:t>
            </w:r>
            <w:r>
              <w:rPr>
                <w:spacing w:val="-1"/>
                <w:u w:val="single" w:color="auto"/>
              </w:rPr>
              <w:t>提供具有履行合同所必需的设备和专业技术能力的</w:t>
            </w:r>
            <w:r>
              <w:rPr>
                <w:spacing w:val="-4"/>
                <w:u w:val="single" w:color="auto"/>
              </w:rPr>
              <w:t>承诺；</w:t>
            </w:r>
          </w:p>
          <w:p w14:paraId="1D799B08">
            <w:pPr>
              <w:pStyle w:val="7"/>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left="0" w:leftChars="0"/>
              <w:textAlignment w:val="baseline"/>
              <w:rPr>
                <w:spacing w:val="2"/>
                <w:u w:val="single" w:color="auto"/>
              </w:rPr>
            </w:pPr>
            <w:r>
              <w:rPr>
                <w:rFonts w:ascii="宋体" w:hAnsi="宋体" w:eastAsia="宋体" w:cs="宋体"/>
                <w:snapToGrid w:val="0"/>
                <w:color w:val="000000"/>
                <w:spacing w:val="2"/>
                <w:kern w:val="0"/>
                <w:sz w:val="28"/>
                <w:szCs w:val="28"/>
                <w:u w:val="single" w:color="auto"/>
                <w:lang w:val="en-US" w:eastAsia="en-US" w:bidi="ar-SA"/>
              </w:rPr>
              <w:t>(6)</w:t>
            </w:r>
            <w:r>
              <w:rPr>
                <w:spacing w:val="-2"/>
                <w:u w:val="single" w:color="auto"/>
              </w:rPr>
              <w:t>参加政府采购活动前</w:t>
            </w:r>
            <w:r>
              <w:rPr>
                <w:spacing w:val="-43"/>
                <w:u w:val="single" w:color="auto"/>
              </w:rPr>
              <w:t xml:space="preserve"> </w:t>
            </w:r>
            <w:r>
              <w:rPr>
                <w:spacing w:val="-2"/>
                <w:u w:val="single" w:color="auto"/>
              </w:rPr>
              <w:t>3</w:t>
            </w:r>
            <w:r>
              <w:rPr>
                <w:spacing w:val="-55"/>
                <w:u w:val="single" w:color="auto"/>
              </w:rPr>
              <w:t xml:space="preserve"> </w:t>
            </w:r>
            <w:r>
              <w:rPr>
                <w:spacing w:val="-2"/>
                <w:u w:val="single" w:color="auto"/>
              </w:rPr>
              <w:t>年内，在经营活动中没有重</w:t>
            </w:r>
            <w:r>
              <w:rPr>
                <w:spacing w:val="2"/>
                <w:u w:val="single" w:color="auto"/>
              </w:rPr>
              <w:t>大违法记录的书面声明。</w:t>
            </w:r>
          </w:p>
          <w:p w14:paraId="1BEFAC4D">
            <w:pPr>
              <w:pStyle w:val="7"/>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left="0" w:leftChars="0"/>
              <w:textAlignment w:val="baseline"/>
              <w:rPr>
                <w:spacing w:val="-11"/>
                <w:u w:val="single" w:color="auto"/>
              </w:rPr>
            </w:pPr>
            <w:r>
              <w:rPr>
                <w:rFonts w:ascii="宋体" w:hAnsi="宋体" w:eastAsia="宋体" w:cs="宋体"/>
                <w:snapToGrid w:val="0"/>
                <w:color w:val="000000"/>
                <w:spacing w:val="2"/>
                <w:kern w:val="0"/>
                <w:sz w:val="28"/>
                <w:szCs w:val="28"/>
                <w:u w:val="single" w:color="auto"/>
                <w:lang w:val="en-US" w:eastAsia="en-US" w:bidi="ar-SA"/>
              </w:rPr>
              <w:t>(</w:t>
            </w:r>
            <w:r>
              <w:rPr>
                <w:rFonts w:hint="eastAsia" w:cs="宋体"/>
                <w:snapToGrid w:val="0"/>
                <w:color w:val="000000"/>
                <w:spacing w:val="2"/>
                <w:kern w:val="0"/>
                <w:sz w:val="28"/>
                <w:szCs w:val="28"/>
                <w:u w:val="single" w:color="auto"/>
                <w:lang w:val="en-US" w:eastAsia="zh-CN" w:bidi="ar-SA"/>
              </w:rPr>
              <w:t>7</w:t>
            </w:r>
            <w:r>
              <w:rPr>
                <w:rFonts w:ascii="宋体" w:hAnsi="宋体" w:eastAsia="宋体" w:cs="宋体"/>
                <w:snapToGrid w:val="0"/>
                <w:color w:val="000000"/>
                <w:spacing w:val="2"/>
                <w:kern w:val="0"/>
                <w:sz w:val="28"/>
                <w:szCs w:val="28"/>
                <w:u w:val="single" w:color="auto"/>
                <w:lang w:val="en-US" w:eastAsia="en-US" w:bidi="ar-SA"/>
              </w:rPr>
              <w:t>)</w:t>
            </w:r>
            <w:r>
              <w:rPr>
                <w:spacing w:val="1"/>
                <w:u w:val="single" w:color="auto"/>
              </w:rPr>
              <w:t>法定代表人授权书（法定代表人直接参加投标，</w:t>
            </w:r>
            <w:r>
              <w:rPr>
                <w:spacing w:val="-2"/>
                <w:u w:val="single" w:color="auto"/>
              </w:rPr>
              <w:t>须提供法定代表人身份证明</w:t>
            </w:r>
            <w:r>
              <w:rPr>
                <w:spacing w:val="20"/>
                <w:u w:val="single" w:color="auto"/>
              </w:rPr>
              <w:t>）；</w:t>
            </w:r>
          </w:p>
          <w:p w14:paraId="485555F1">
            <w:pPr>
              <w:pStyle w:val="7"/>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left="0" w:leftChars="0" w:firstLine="0" w:firstLineChars="0"/>
              <w:textAlignment w:val="baseline"/>
              <w:rPr>
                <w:spacing w:val="-5"/>
                <w:u w:val="single" w:color="auto"/>
              </w:rPr>
            </w:pPr>
            <w:r>
              <w:rPr>
                <w:rFonts w:ascii="宋体" w:hAnsi="宋体" w:eastAsia="宋体" w:cs="宋体"/>
                <w:snapToGrid w:val="0"/>
                <w:color w:val="000000"/>
                <w:spacing w:val="2"/>
                <w:kern w:val="0"/>
                <w:sz w:val="28"/>
                <w:szCs w:val="28"/>
                <w:u w:val="single" w:color="auto"/>
                <w:lang w:val="en-US" w:eastAsia="en-US" w:bidi="ar-SA"/>
              </w:rPr>
              <w:t>(</w:t>
            </w:r>
            <w:r>
              <w:rPr>
                <w:rFonts w:hint="eastAsia" w:cs="宋体"/>
                <w:snapToGrid w:val="0"/>
                <w:color w:val="000000"/>
                <w:spacing w:val="2"/>
                <w:kern w:val="0"/>
                <w:sz w:val="28"/>
                <w:szCs w:val="28"/>
                <w:u w:val="single" w:color="auto"/>
                <w:lang w:val="en-US" w:eastAsia="zh-CN" w:bidi="ar-SA"/>
              </w:rPr>
              <w:t>8</w:t>
            </w:r>
            <w:r>
              <w:rPr>
                <w:rFonts w:ascii="宋体" w:hAnsi="宋体" w:eastAsia="宋体" w:cs="宋体"/>
                <w:snapToGrid w:val="0"/>
                <w:color w:val="000000"/>
                <w:spacing w:val="2"/>
                <w:kern w:val="0"/>
                <w:sz w:val="28"/>
                <w:szCs w:val="28"/>
                <w:u w:val="single" w:color="auto"/>
                <w:lang w:val="en-US" w:eastAsia="en-US" w:bidi="ar-SA"/>
              </w:rPr>
              <w:t>)</w:t>
            </w:r>
            <w:r>
              <w:rPr>
                <w:spacing w:val="-11"/>
                <w:u w:val="single" w:color="auto"/>
              </w:rPr>
              <w:t xml:space="preserve">供 应 商 不 得 为 “ </w:t>
            </w:r>
            <w:r>
              <w:rPr>
                <w:spacing w:val="-12"/>
                <w:u w:val="single" w:color="auto"/>
              </w:rPr>
              <w:t>信 用</w:t>
            </w:r>
            <w:r>
              <w:rPr>
                <w:spacing w:val="22"/>
                <w:u w:val="single" w:color="auto"/>
              </w:rPr>
              <w:t xml:space="preserve"> </w:t>
            </w:r>
            <w:r>
              <w:rPr>
                <w:spacing w:val="-12"/>
                <w:u w:val="single" w:color="auto"/>
              </w:rPr>
              <w:t>中</w:t>
            </w:r>
            <w:r>
              <w:rPr>
                <w:spacing w:val="23"/>
                <w:u w:val="single" w:color="auto"/>
              </w:rPr>
              <w:t xml:space="preserve"> </w:t>
            </w:r>
            <w:r>
              <w:rPr>
                <w:spacing w:val="-12"/>
                <w:u w:val="single" w:color="auto"/>
              </w:rPr>
              <w:t>国</w:t>
            </w:r>
            <w:r>
              <w:rPr>
                <w:spacing w:val="22"/>
                <w:u w:val="single" w:color="auto"/>
              </w:rPr>
              <w:t xml:space="preserve"> </w:t>
            </w:r>
            <w:r>
              <w:rPr>
                <w:spacing w:val="-12"/>
                <w:u w:val="single" w:color="auto"/>
              </w:rPr>
              <w:t>” 网 站</w:t>
            </w:r>
            <w:r>
              <w:rPr>
                <w:spacing w:val="-3"/>
                <w:u w:val="single" w:color="auto"/>
              </w:rPr>
              <w:t>（</w:t>
            </w:r>
            <w:r>
              <w:rPr>
                <w:u w:val="single" w:color="auto"/>
              </w:rPr>
              <w:fldChar w:fldCharType="begin"/>
            </w:r>
            <w:r>
              <w:rPr>
                <w:u w:val="single" w:color="auto"/>
              </w:rPr>
              <w:instrText xml:space="preserve"> HYPERLINK "https://www.creditchina.gov.cn" </w:instrText>
            </w:r>
            <w:r>
              <w:rPr>
                <w:u w:val="single" w:color="auto"/>
              </w:rPr>
              <w:fldChar w:fldCharType="separate"/>
            </w:r>
            <w:r>
              <w:rPr>
                <w:spacing w:val="-3"/>
                <w:u w:val="single" w:color="auto"/>
              </w:rPr>
              <w:t>www.creditchina.gov.cn</w:t>
            </w:r>
            <w:r>
              <w:rPr>
                <w:spacing w:val="-3"/>
                <w:u w:val="single" w:color="auto"/>
              </w:rPr>
              <w:fldChar w:fldCharType="end"/>
            </w:r>
            <w:r>
              <w:rPr>
                <w:spacing w:val="-3"/>
                <w:u w:val="single" w:color="auto"/>
              </w:rPr>
              <w:t>）中列入失信被执行人</w:t>
            </w:r>
            <w:r>
              <w:rPr>
                <w:spacing w:val="-4"/>
                <w:u w:val="single" w:color="auto"/>
              </w:rPr>
              <w:t>和重</w:t>
            </w:r>
            <w:r>
              <w:rPr>
                <w:spacing w:val="-5"/>
                <w:u w:val="single" w:color="auto"/>
              </w:rPr>
              <w:t>大税收违法案件当事人名单的投标供应商，不得为中国</w:t>
            </w:r>
            <w:r>
              <w:rPr>
                <w:spacing w:val="2"/>
                <w:u w:val="single" w:color="auto"/>
              </w:rPr>
              <w:t>政府采购网（</w:t>
            </w:r>
            <w:r>
              <w:rPr>
                <w:u w:val="single" w:color="auto"/>
              </w:rPr>
              <w:fldChar w:fldCharType="begin"/>
            </w:r>
            <w:r>
              <w:rPr>
                <w:u w:val="single" w:color="auto"/>
              </w:rPr>
              <w:instrText xml:space="preserve"> HYPERLINK "https://www.ccgp.gov.cn" </w:instrText>
            </w:r>
            <w:r>
              <w:rPr>
                <w:u w:val="single" w:color="auto"/>
              </w:rPr>
              <w:fldChar w:fldCharType="separate"/>
            </w:r>
            <w:r>
              <w:rPr>
                <w:u w:val="single" w:color="auto"/>
              </w:rPr>
              <w:t>www</w:t>
            </w:r>
            <w:r>
              <w:rPr>
                <w:spacing w:val="2"/>
                <w:u w:val="single" w:color="auto"/>
              </w:rPr>
              <w:t>.</w:t>
            </w:r>
            <w:r>
              <w:rPr>
                <w:u w:val="single" w:color="auto"/>
              </w:rPr>
              <w:t>ccgp</w:t>
            </w:r>
            <w:r>
              <w:rPr>
                <w:spacing w:val="2"/>
                <w:u w:val="single" w:color="auto"/>
              </w:rPr>
              <w:t>.</w:t>
            </w:r>
            <w:r>
              <w:rPr>
                <w:u w:val="single" w:color="auto"/>
              </w:rPr>
              <w:t>gov</w:t>
            </w:r>
            <w:r>
              <w:rPr>
                <w:spacing w:val="2"/>
                <w:u w:val="single" w:color="auto"/>
              </w:rPr>
              <w:t>.</w:t>
            </w:r>
            <w:r>
              <w:rPr>
                <w:u w:val="single" w:color="auto"/>
              </w:rPr>
              <w:t>cn</w:t>
            </w:r>
            <w:r>
              <w:rPr>
                <w:u w:val="single" w:color="auto"/>
              </w:rPr>
              <w:fldChar w:fldCharType="end"/>
            </w:r>
            <w:r>
              <w:rPr>
                <w:spacing w:val="2"/>
                <w:u w:val="single" w:color="auto"/>
              </w:rPr>
              <w:t>）政府采购严重违法失</w:t>
            </w:r>
            <w:r>
              <w:rPr>
                <w:spacing w:val="8"/>
                <w:u w:val="single" w:color="auto"/>
              </w:rPr>
              <w:t>信行为记录名单中被财政部门禁止参加政府采</w:t>
            </w:r>
            <w:r>
              <w:rPr>
                <w:spacing w:val="7"/>
                <w:u w:val="single" w:color="auto"/>
              </w:rPr>
              <w:t>购活动</w:t>
            </w:r>
            <w:r>
              <w:rPr>
                <w:spacing w:val="-5"/>
                <w:u w:val="single" w:color="auto"/>
              </w:rPr>
              <w:t>的投标供应商；</w:t>
            </w:r>
          </w:p>
          <w:p w14:paraId="0561E855">
            <w:pPr>
              <w:pStyle w:val="7"/>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left="0" w:leftChars="0"/>
              <w:jc w:val="both"/>
              <w:textAlignment w:val="baseline"/>
              <w:rPr>
                <w:rFonts w:hint="eastAsia" w:cs="宋体"/>
                <w:b w:val="0"/>
                <w:bCs w:val="0"/>
                <w:color w:val="000000"/>
                <w:sz w:val="28"/>
                <w:szCs w:val="28"/>
                <w:u w:val="single" w:color="auto"/>
                <w:lang w:eastAsia="zh-CN"/>
              </w:rPr>
            </w:pPr>
            <w:r>
              <w:rPr>
                <w:rFonts w:ascii="宋体" w:hAnsi="宋体" w:eastAsia="宋体" w:cs="宋体"/>
                <w:snapToGrid w:val="0"/>
                <w:color w:val="000000"/>
                <w:spacing w:val="2"/>
                <w:kern w:val="0"/>
                <w:sz w:val="28"/>
                <w:szCs w:val="28"/>
                <w:u w:val="single" w:color="auto"/>
                <w:lang w:val="en-US" w:eastAsia="en-US" w:bidi="ar-SA"/>
              </w:rPr>
              <w:t>(</w:t>
            </w:r>
            <w:r>
              <w:rPr>
                <w:rFonts w:hint="eastAsia" w:cs="宋体"/>
                <w:snapToGrid w:val="0"/>
                <w:color w:val="000000"/>
                <w:spacing w:val="2"/>
                <w:kern w:val="0"/>
                <w:sz w:val="28"/>
                <w:szCs w:val="28"/>
                <w:u w:val="single" w:color="auto"/>
                <w:lang w:val="en-US" w:eastAsia="zh-CN" w:bidi="ar-SA"/>
              </w:rPr>
              <w:t>9</w:t>
            </w:r>
            <w:r>
              <w:rPr>
                <w:rFonts w:ascii="宋体" w:hAnsi="宋体" w:eastAsia="宋体" w:cs="宋体"/>
                <w:snapToGrid w:val="0"/>
                <w:color w:val="000000"/>
                <w:spacing w:val="2"/>
                <w:kern w:val="0"/>
                <w:sz w:val="28"/>
                <w:szCs w:val="28"/>
                <w:u w:val="single" w:color="auto"/>
                <w:lang w:val="en-US" w:eastAsia="en-US" w:bidi="ar-SA"/>
              </w:rPr>
              <w:t>)</w:t>
            </w:r>
            <w:r>
              <w:rPr>
                <w:rFonts w:hint="eastAsia" w:ascii="宋体" w:hAnsi="宋体" w:eastAsia="宋体" w:cs="宋体"/>
                <w:b w:val="0"/>
                <w:bCs w:val="0"/>
                <w:color w:val="000000"/>
                <w:sz w:val="28"/>
                <w:szCs w:val="28"/>
                <w:u w:val="single" w:color="auto"/>
              </w:rPr>
              <w:t>本项目不接受联合体投标</w:t>
            </w:r>
            <w:r>
              <w:rPr>
                <w:rFonts w:hint="eastAsia" w:cs="宋体"/>
                <w:b w:val="0"/>
                <w:bCs w:val="0"/>
                <w:color w:val="000000"/>
                <w:sz w:val="28"/>
                <w:szCs w:val="28"/>
                <w:u w:val="single" w:color="auto"/>
                <w:lang w:eastAsia="zh-CN"/>
              </w:rPr>
              <w:t>；</w:t>
            </w:r>
          </w:p>
          <w:p w14:paraId="581665EA">
            <w:pPr>
              <w:pStyle w:val="7"/>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left="0" w:leftChars="0"/>
              <w:jc w:val="both"/>
              <w:textAlignment w:val="baseline"/>
            </w:pPr>
            <w:r>
              <w:rPr>
                <w:rFonts w:ascii="宋体" w:hAnsi="宋体" w:eastAsia="宋体" w:cs="宋体"/>
                <w:snapToGrid w:val="0"/>
                <w:color w:val="000000"/>
                <w:spacing w:val="2"/>
                <w:kern w:val="0"/>
                <w:sz w:val="28"/>
                <w:szCs w:val="28"/>
                <w:u w:val="single" w:color="auto"/>
                <w:lang w:val="en-US" w:eastAsia="en-US" w:bidi="ar-SA"/>
              </w:rPr>
              <w:t>(</w:t>
            </w:r>
            <w:r>
              <w:rPr>
                <w:rFonts w:hint="eastAsia" w:cs="宋体"/>
                <w:snapToGrid w:val="0"/>
                <w:color w:val="000000"/>
                <w:spacing w:val="2"/>
                <w:kern w:val="0"/>
                <w:sz w:val="28"/>
                <w:szCs w:val="28"/>
                <w:u w:val="single" w:color="auto"/>
                <w:lang w:val="en-US" w:eastAsia="zh-CN" w:bidi="ar-SA"/>
              </w:rPr>
              <w:t>10</w:t>
            </w:r>
            <w:r>
              <w:rPr>
                <w:rFonts w:ascii="宋体" w:hAnsi="宋体" w:eastAsia="宋体" w:cs="宋体"/>
                <w:snapToGrid w:val="0"/>
                <w:color w:val="000000"/>
                <w:spacing w:val="2"/>
                <w:kern w:val="0"/>
                <w:sz w:val="28"/>
                <w:szCs w:val="28"/>
                <w:u w:val="single" w:color="auto"/>
                <w:lang w:val="en-US" w:eastAsia="en-US" w:bidi="ar-SA"/>
              </w:rPr>
              <w:t>)</w:t>
            </w:r>
            <w:r>
              <w:rPr>
                <w:rFonts w:hint="eastAsia" w:ascii="宋体" w:hAnsi="宋体" w:eastAsia="宋体" w:cs="宋体"/>
                <w:snapToGrid w:val="0"/>
                <w:color w:val="000000"/>
                <w:kern w:val="0"/>
                <w:sz w:val="28"/>
                <w:szCs w:val="28"/>
                <w:u w:val="single" w:color="auto"/>
                <w:lang w:val="en-US" w:eastAsia="zh-CN" w:bidi="ar-SA"/>
              </w:rPr>
              <w:t>单位负责人为同一人或者存在直接控股、管理关系的不同供应商，不得参加同一合同项下的政府采</w:t>
            </w:r>
            <w:r>
              <w:rPr>
                <w:spacing w:val="-2"/>
                <w:u w:val="single" w:color="auto"/>
              </w:rPr>
              <w:t>活动</w:t>
            </w:r>
            <w:r>
              <w:rPr>
                <w:rFonts w:hint="eastAsia"/>
                <w:spacing w:val="-2"/>
                <w:u w:val="single" w:color="auto"/>
                <w:lang w:eastAsia="zh-CN"/>
              </w:rPr>
              <w:t>。</w:t>
            </w:r>
          </w:p>
        </w:tc>
      </w:tr>
      <w:tr w14:paraId="58AB2B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23" w:hRule="atLeast"/>
        </w:trPr>
        <w:tc>
          <w:tcPr>
            <w:tcW w:w="753" w:type="dxa"/>
            <w:vMerge w:val="continue"/>
            <w:tcBorders>
              <w:top w:val="nil"/>
              <w:bottom w:val="single" w:color="auto" w:sz="4" w:space="0"/>
            </w:tcBorders>
            <w:vAlign w:val="top"/>
          </w:tcPr>
          <w:p w14:paraId="09929F07">
            <w:pPr>
              <w:rPr>
                <w:rFonts w:ascii="Arial"/>
                <w:sz w:val="21"/>
              </w:rPr>
            </w:pPr>
          </w:p>
        </w:tc>
        <w:tc>
          <w:tcPr>
            <w:tcW w:w="2091" w:type="dxa"/>
            <w:vMerge w:val="continue"/>
            <w:tcBorders>
              <w:top w:val="nil"/>
              <w:bottom w:val="single" w:color="auto" w:sz="4" w:space="0"/>
            </w:tcBorders>
            <w:vAlign w:val="top"/>
          </w:tcPr>
          <w:p w14:paraId="349D9556">
            <w:pPr>
              <w:rPr>
                <w:rFonts w:ascii="Arial"/>
                <w:sz w:val="21"/>
              </w:rPr>
            </w:pPr>
          </w:p>
        </w:tc>
        <w:tc>
          <w:tcPr>
            <w:tcW w:w="6818" w:type="dxa"/>
            <w:tcBorders>
              <w:top w:val="single" w:color="000000" w:sz="4" w:space="0"/>
              <w:bottom w:val="single" w:color="000000" w:sz="4" w:space="0"/>
            </w:tcBorders>
            <w:vAlign w:val="top"/>
          </w:tcPr>
          <w:p w14:paraId="03F64B90">
            <w:pPr>
              <w:spacing w:line="250" w:lineRule="auto"/>
              <w:rPr>
                <w:rFonts w:ascii="Arial"/>
                <w:sz w:val="21"/>
              </w:rPr>
            </w:pPr>
          </w:p>
          <w:p w14:paraId="570C8A50">
            <w:pPr>
              <w:pStyle w:val="7"/>
              <w:keepNext w:val="0"/>
              <w:keepLines w:val="0"/>
              <w:pageBreakBefore w:val="0"/>
              <w:widowControl/>
              <w:kinsoku w:val="0"/>
              <w:wordWrap/>
              <w:overflowPunct/>
              <w:topLinePunct w:val="0"/>
              <w:autoSpaceDE w:val="0"/>
              <w:autoSpaceDN w:val="0"/>
              <w:bidi w:val="0"/>
              <w:adjustRightInd w:val="0"/>
              <w:snapToGrid w:val="0"/>
              <w:spacing w:line="360" w:lineRule="auto"/>
              <w:jc w:val="both"/>
              <w:textAlignment w:val="baseline"/>
            </w:pPr>
            <w:r>
              <w:rPr>
                <w:rFonts w:hint="eastAsia" w:ascii="宋体" w:hAnsi="宋体" w:eastAsia="宋体" w:cs="宋体"/>
                <w:snapToGrid w:val="0"/>
                <w:color w:val="000000"/>
                <w:kern w:val="0"/>
                <w:sz w:val="28"/>
                <w:szCs w:val="28"/>
                <w:u w:val="none" w:color="auto"/>
                <w:lang w:val="en-US" w:eastAsia="zh-CN" w:bidi="ar-SA"/>
              </w:rPr>
              <w:t>根采购促进中小企业发展管理办法》 (财库 (2据《政府020）46 号)的规定，不得以企业注册资本、资产总额、营业收入、从业人员、利润、纳税额等规模条件和财务指标作为供应商的资格要求或者评审因素，不得在企业股权结构、经营年限等方面对中小企业实行差别待遇或者歧视待遇。</w:t>
            </w:r>
          </w:p>
        </w:tc>
      </w:tr>
      <w:tr w14:paraId="6113BD6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7" w:hRule="atLeast"/>
        </w:trPr>
        <w:tc>
          <w:tcPr>
            <w:tcW w:w="753" w:type="dxa"/>
            <w:tcBorders>
              <w:top w:val="single" w:color="auto" w:sz="4" w:space="0"/>
              <w:left w:val="single" w:color="auto" w:sz="4" w:space="0"/>
              <w:bottom w:val="single" w:color="auto" w:sz="4" w:space="0"/>
              <w:right w:val="single" w:color="auto" w:sz="4" w:space="0"/>
            </w:tcBorders>
            <w:vAlign w:val="top"/>
          </w:tcPr>
          <w:p w14:paraId="46AECCD3">
            <w:pPr>
              <w:spacing w:line="246" w:lineRule="auto"/>
              <w:rPr>
                <w:rFonts w:ascii="Arial"/>
                <w:sz w:val="21"/>
              </w:rPr>
            </w:pPr>
          </w:p>
          <w:p w14:paraId="04F59ABE">
            <w:pPr>
              <w:pStyle w:val="7"/>
              <w:spacing w:before="91"/>
              <w:jc w:val="center"/>
              <w:rPr>
                <w:rFonts w:ascii="Arial"/>
                <w:sz w:val="21"/>
              </w:rPr>
            </w:pPr>
            <w:r>
              <w:rPr>
                <w:rFonts w:hint="eastAsia"/>
                <w:lang w:val="en-US" w:eastAsia="zh-CN"/>
              </w:rPr>
              <w:t>5</w:t>
            </w:r>
          </w:p>
        </w:tc>
        <w:tc>
          <w:tcPr>
            <w:tcW w:w="2091" w:type="dxa"/>
            <w:tcBorders>
              <w:top w:val="single" w:color="auto" w:sz="4" w:space="0"/>
              <w:left w:val="single" w:color="auto" w:sz="4" w:space="0"/>
              <w:bottom w:val="single" w:color="auto" w:sz="4" w:space="0"/>
              <w:right w:val="single" w:color="auto" w:sz="4" w:space="0"/>
            </w:tcBorders>
            <w:vAlign w:val="top"/>
          </w:tcPr>
          <w:p w14:paraId="4FC2DBD4">
            <w:pPr>
              <w:pStyle w:val="7"/>
              <w:keepNext w:val="0"/>
              <w:keepLines w:val="0"/>
              <w:pageBreakBefore w:val="0"/>
              <w:widowControl/>
              <w:kinsoku w:val="0"/>
              <w:wordWrap/>
              <w:overflowPunct/>
              <w:topLinePunct w:val="0"/>
              <w:autoSpaceDE w:val="0"/>
              <w:autoSpaceDN w:val="0"/>
              <w:bidi w:val="0"/>
              <w:adjustRightInd w:val="0"/>
              <w:snapToGrid w:val="0"/>
              <w:spacing w:line="400" w:lineRule="exact"/>
              <w:ind w:right="0" w:rightChars="0"/>
              <w:jc w:val="center"/>
              <w:textAlignment w:val="baseline"/>
              <w:rPr>
                <w:rFonts w:ascii="Arial"/>
                <w:sz w:val="21"/>
              </w:rPr>
            </w:pPr>
            <w:r>
              <w:rPr>
                <w:spacing w:val="-4"/>
              </w:rPr>
              <w:t>是否接受</w:t>
            </w:r>
            <w:r>
              <w:rPr>
                <w:spacing w:val="-3"/>
              </w:rPr>
              <w:t>联合体投标</w:t>
            </w:r>
          </w:p>
        </w:tc>
        <w:tc>
          <w:tcPr>
            <w:tcW w:w="6818" w:type="dxa"/>
            <w:tcBorders>
              <w:top w:val="single" w:color="000000" w:sz="4" w:space="0"/>
              <w:left w:val="single" w:color="auto" w:sz="4" w:space="0"/>
              <w:bottom w:val="single" w:color="000000" w:sz="4" w:space="0"/>
            </w:tcBorders>
            <w:vAlign w:val="top"/>
          </w:tcPr>
          <w:p w14:paraId="2504CDE6">
            <w:pPr>
              <w:pStyle w:val="7"/>
              <w:spacing w:before="291" w:line="387" w:lineRule="auto"/>
              <w:ind w:left="26" w:leftChars="0" w:right="13" w:rightChars="0" w:hanging="5" w:firstLineChars="0"/>
              <w:rPr>
                <w:rFonts w:hint="eastAsia" w:ascii="宋体" w:hAnsi="宋体" w:eastAsia="宋体" w:cs="宋体"/>
                <w:snapToGrid w:val="0"/>
                <w:color w:val="000000"/>
                <w:kern w:val="0"/>
                <w:sz w:val="28"/>
                <w:szCs w:val="28"/>
                <w:u w:val="none" w:color="auto"/>
                <w:lang w:val="en-US" w:eastAsia="zh-CN" w:bidi="ar-SA"/>
              </w:rPr>
            </w:pPr>
            <w:r>
              <w:rPr>
                <w:rFonts w:hint="eastAsia" w:ascii="宋体" w:hAnsi="宋体" w:eastAsia="宋体" w:cs="宋体"/>
                <w:b w:val="0"/>
                <w:bCs w:val="0"/>
                <w:color w:val="000000"/>
                <w:sz w:val="28"/>
                <w:szCs w:val="28"/>
              </w:rPr>
              <w:t xml:space="preserve">√ </w:t>
            </w:r>
            <w:r>
              <w:rPr>
                <w:spacing w:val="-9"/>
              </w:rPr>
              <w:t>不接受</w:t>
            </w:r>
          </w:p>
        </w:tc>
      </w:tr>
      <w:tr w14:paraId="5E019E0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4" w:hRule="atLeast"/>
        </w:trPr>
        <w:tc>
          <w:tcPr>
            <w:tcW w:w="753" w:type="dxa"/>
            <w:vMerge w:val="restart"/>
            <w:tcBorders>
              <w:top w:val="single" w:color="auto" w:sz="4" w:space="0"/>
              <w:left w:val="single" w:color="auto" w:sz="4" w:space="0"/>
              <w:right w:val="single" w:color="auto" w:sz="4" w:space="0"/>
            </w:tcBorders>
            <w:vAlign w:val="center"/>
          </w:tcPr>
          <w:p w14:paraId="3CAAAD0F">
            <w:pPr>
              <w:spacing w:line="410" w:lineRule="auto"/>
              <w:jc w:val="center"/>
              <w:rPr>
                <w:rFonts w:ascii="Arial"/>
                <w:sz w:val="21"/>
              </w:rPr>
            </w:pPr>
          </w:p>
          <w:p w14:paraId="54EC6133">
            <w:pPr>
              <w:pStyle w:val="7"/>
              <w:spacing w:before="91"/>
              <w:ind w:left="316" w:leftChars="0"/>
              <w:jc w:val="center"/>
              <w:rPr>
                <w:rFonts w:hint="eastAsia"/>
                <w:lang w:val="en-US" w:eastAsia="zh-CN"/>
              </w:rPr>
            </w:pPr>
            <w:r>
              <w:rPr>
                <w:rFonts w:hint="eastAsia"/>
                <w:lang w:val="en-US" w:eastAsia="zh-CN"/>
              </w:rPr>
              <w:t>6</w:t>
            </w:r>
          </w:p>
        </w:tc>
        <w:tc>
          <w:tcPr>
            <w:tcW w:w="2091" w:type="dxa"/>
            <w:vMerge w:val="restart"/>
            <w:tcBorders>
              <w:top w:val="single" w:color="auto" w:sz="4" w:space="0"/>
              <w:left w:val="single" w:color="auto" w:sz="4" w:space="0"/>
              <w:right w:val="single" w:color="auto" w:sz="4" w:space="0"/>
            </w:tcBorders>
            <w:vAlign w:val="center"/>
          </w:tcPr>
          <w:p w14:paraId="327774C3">
            <w:pPr>
              <w:spacing w:line="410" w:lineRule="auto"/>
              <w:jc w:val="center"/>
              <w:rPr>
                <w:rFonts w:ascii="Arial"/>
                <w:sz w:val="21"/>
              </w:rPr>
            </w:pPr>
          </w:p>
          <w:p w14:paraId="2DB28CB3">
            <w:pPr>
              <w:pStyle w:val="7"/>
              <w:spacing w:before="91" w:line="221" w:lineRule="auto"/>
              <w:ind w:left="356" w:leftChars="0"/>
              <w:jc w:val="center"/>
              <w:rPr>
                <w:spacing w:val="-4"/>
              </w:rPr>
            </w:pPr>
            <w:r>
              <w:rPr>
                <w:spacing w:val="-3"/>
              </w:rPr>
              <w:t>履约保证金</w:t>
            </w:r>
          </w:p>
        </w:tc>
        <w:tc>
          <w:tcPr>
            <w:tcW w:w="6818" w:type="dxa"/>
            <w:tcBorders>
              <w:top w:val="single" w:color="000000" w:sz="4" w:space="0"/>
              <w:left w:val="single" w:color="auto" w:sz="4" w:space="0"/>
              <w:bottom w:val="single" w:color="000000" w:sz="4" w:space="0"/>
            </w:tcBorders>
            <w:vAlign w:val="top"/>
          </w:tcPr>
          <w:p w14:paraId="302FBC8D">
            <w:pPr>
              <w:pStyle w:val="7"/>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jc w:val="left"/>
              <w:textAlignment w:val="baseline"/>
              <w:rPr>
                <w:spacing w:val="-4"/>
              </w:rPr>
            </w:pPr>
            <w:r>
              <w:rPr>
                <w:spacing w:val="-4"/>
              </w:rPr>
              <w:t>占政府采购合同金额的 0 %</w:t>
            </w:r>
          </w:p>
          <w:p w14:paraId="24320010">
            <w:pPr>
              <w:pStyle w:val="7"/>
              <w:keepNext w:val="0"/>
              <w:keepLines w:val="0"/>
              <w:pageBreakBefore w:val="0"/>
              <w:widowControl/>
              <w:kinsoku w:val="0"/>
              <w:wordWrap/>
              <w:overflowPunct/>
              <w:topLinePunct w:val="0"/>
              <w:autoSpaceDE w:val="0"/>
              <w:autoSpaceDN w:val="0"/>
              <w:bidi w:val="0"/>
              <w:adjustRightInd w:val="0"/>
              <w:snapToGrid w:val="0"/>
              <w:spacing w:line="360" w:lineRule="auto"/>
              <w:ind w:left="26" w:leftChars="0" w:right="13" w:rightChars="0" w:hanging="5" w:firstLineChars="0"/>
              <w:textAlignment w:val="baseline"/>
              <w:rPr>
                <w:rFonts w:hint="eastAsia" w:ascii="宋体" w:hAnsi="宋体" w:eastAsia="宋体" w:cs="宋体"/>
                <w:b w:val="0"/>
                <w:bCs w:val="0"/>
                <w:color w:val="000000"/>
                <w:sz w:val="28"/>
                <w:szCs w:val="28"/>
                <w:lang w:eastAsia="zh-CN"/>
              </w:rPr>
            </w:pPr>
            <w:r>
              <w:rPr>
                <w:spacing w:val="-4"/>
              </w:rPr>
              <w:t>履约保证金的数额不得超过政府采购合同金额的10%</w:t>
            </w:r>
            <w:r>
              <w:rPr>
                <w:rFonts w:hint="eastAsia"/>
                <w:spacing w:val="-4"/>
                <w:lang w:eastAsia="zh-CN"/>
              </w:rPr>
              <w:t>；</w:t>
            </w:r>
            <w:r>
              <w:rPr>
                <w:spacing w:val="-4"/>
              </w:rPr>
              <w:t>对于单价合同，其数额不得超过采购预算的10%</w:t>
            </w:r>
            <w:r>
              <w:rPr>
                <w:rFonts w:hint="eastAsia"/>
                <w:spacing w:val="-4"/>
                <w:lang w:eastAsia="zh-CN"/>
              </w:rPr>
              <w:t>。</w:t>
            </w:r>
          </w:p>
        </w:tc>
      </w:tr>
      <w:tr w14:paraId="04EEC26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44" w:hRule="atLeast"/>
        </w:trPr>
        <w:tc>
          <w:tcPr>
            <w:tcW w:w="753" w:type="dxa"/>
            <w:vMerge w:val="continue"/>
            <w:tcBorders>
              <w:left w:val="single" w:color="auto" w:sz="4" w:space="0"/>
              <w:right w:val="single" w:color="auto" w:sz="4" w:space="0"/>
            </w:tcBorders>
            <w:vAlign w:val="top"/>
          </w:tcPr>
          <w:p w14:paraId="461ACB42">
            <w:pPr>
              <w:pStyle w:val="7"/>
              <w:spacing w:before="91"/>
              <w:jc w:val="center"/>
              <w:rPr>
                <w:rFonts w:hint="eastAsia"/>
                <w:lang w:val="en-US" w:eastAsia="zh-CN"/>
              </w:rPr>
            </w:pPr>
          </w:p>
        </w:tc>
        <w:tc>
          <w:tcPr>
            <w:tcW w:w="2091" w:type="dxa"/>
            <w:vMerge w:val="continue"/>
            <w:tcBorders>
              <w:left w:val="single" w:color="auto" w:sz="4" w:space="0"/>
              <w:right w:val="single" w:color="auto" w:sz="4" w:space="0"/>
            </w:tcBorders>
            <w:vAlign w:val="top"/>
          </w:tcPr>
          <w:p w14:paraId="595CFE36">
            <w:pPr>
              <w:pStyle w:val="7"/>
              <w:keepNext w:val="0"/>
              <w:keepLines w:val="0"/>
              <w:pageBreakBefore w:val="0"/>
              <w:widowControl/>
              <w:kinsoku w:val="0"/>
              <w:wordWrap/>
              <w:overflowPunct/>
              <w:topLinePunct w:val="0"/>
              <w:autoSpaceDE w:val="0"/>
              <w:autoSpaceDN w:val="0"/>
              <w:bidi w:val="0"/>
              <w:adjustRightInd w:val="0"/>
              <w:snapToGrid w:val="0"/>
              <w:spacing w:line="360" w:lineRule="auto"/>
              <w:ind w:right="0" w:rightChars="0"/>
              <w:jc w:val="center"/>
              <w:textAlignment w:val="baseline"/>
              <w:rPr>
                <w:spacing w:val="-4"/>
              </w:rPr>
            </w:pPr>
          </w:p>
        </w:tc>
        <w:tc>
          <w:tcPr>
            <w:tcW w:w="6818" w:type="dxa"/>
            <w:tcBorders>
              <w:top w:val="single" w:color="000000" w:sz="4" w:space="0"/>
              <w:left w:val="single" w:color="auto" w:sz="4" w:space="0"/>
              <w:bottom w:val="single" w:color="000000" w:sz="4" w:space="0"/>
            </w:tcBorders>
            <w:vAlign w:val="top"/>
          </w:tcPr>
          <w:p w14:paraId="50BBE8D3">
            <w:pPr>
              <w:pStyle w:val="7"/>
              <w:keepNext w:val="0"/>
              <w:keepLines w:val="0"/>
              <w:pageBreakBefore w:val="0"/>
              <w:widowControl/>
              <w:tabs>
                <w:tab w:val="left" w:pos="596"/>
              </w:tabs>
              <w:kinsoku w:val="0"/>
              <w:wordWrap/>
              <w:overflowPunct/>
              <w:topLinePunct w:val="0"/>
              <w:autoSpaceDE w:val="0"/>
              <w:autoSpaceDN w:val="0"/>
              <w:bidi w:val="0"/>
              <w:adjustRightInd w:val="0"/>
              <w:snapToGrid w:val="0"/>
              <w:spacing w:line="360" w:lineRule="auto"/>
              <w:jc w:val="left"/>
              <w:textAlignment w:val="baseline"/>
              <w:rPr>
                <w:rFonts w:hint="eastAsia" w:ascii="宋体" w:hAnsi="宋体" w:eastAsia="宋体" w:cs="宋体"/>
                <w:b w:val="0"/>
                <w:bCs w:val="0"/>
                <w:color w:val="000000"/>
                <w:sz w:val="28"/>
                <w:szCs w:val="28"/>
              </w:rPr>
            </w:pPr>
            <w:r>
              <w:rPr>
                <w:rFonts w:hint="eastAsia" w:ascii="宋体" w:hAnsi="宋体" w:eastAsia="宋体" w:cs="宋体"/>
                <w:b w:val="0"/>
                <w:bCs w:val="0"/>
                <w:color w:val="000000"/>
                <w:sz w:val="28"/>
                <w:szCs w:val="28"/>
              </w:rPr>
              <w:t xml:space="preserve">○由采购单位自行收退 </w:t>
            </w:r>
          </w:p>
          <w:p w14:paraId="3A59D4E0">
            <w:pPr>
              <w:pStyle w:val="7"/>
              <w:keepNext w:val="0"/>
              <w:keepLines w:val="0"/>
              <w:pageBreakBefore w:val="0"/>
              <w:widowControl/>
              <w:tabs>
                <w:tab w:val="left" w:pos="596"/>
              </w:tabs>
              <w:kinsoku w:val="0"/>
              <w:wordWrap/>
              <w:overflowPunct/>
              <w:topLinePunct w:val="0"/>
              <w:autoSpaceDE w:val="0"/>
              <w:autoSpaceDN w:val="0"/>
              <w:bidi w:val="0"/>
              <w:adjustRightInd w:val="0"/>
              <w:snapToGrid w:val="0"/>
              <w:spacing w:line="360" w:lineRule="auto"/>
              <w:jc w:val="left"/>
              <w:textAlignment w:val="baseline"/>
              <w:rPr>
                <w:rFonts w:hint="eastAsia" w:ascii="宋体" w:hAnsi="宋体" w:eastAsia="宋体" w:cs="宋体"/>
                <w:b w:val="0"/>
                <w:bCs w:val="0"/>
                <w:color w:val="000000"/>
                <w:sz w:val="28"/>
                <w:szCs w:val="28"/>
              </w:rPr>
            </w:pPr>
            <w:r>
              <w:rPr>
                <w:rFonts w:hint="eastAsia" w:ascii="宋体" w:hAnsi="宋体" w:eastAsia="宋体" w:cs="宋体"/>
                <w:b w:val="0"/>
                <w:bCs w:val="0"/>
                <w:color w:val="000000"/>
                <w:sz w:val="28"/>
                <w:szCs w:val="28"/>
              </w:rPr>
              <w:t>○由代理机构负责收退</w:t>
            </w:r>
          </w:p>
          <w:p w14:paraId="40643919">
            <w:pPr>
              <w:pStyle w:val="7"/>
              <w:keepNext w:val="0"/>
              <w:keepLines w:val="0"/>
              <w:pageBreakBefore w:val="0"/>
              <w:widowControl/>
              <w:kinsoku w:val="0"/>
              <w:wordWrap/>
              <w:overflowPunct/>
              <w:topLinePunct w:val="0"/>
              <w:autoSpaceDE w:val="0"/>
              <w:autoSpaceDN w:val="0"/>
              <w:bidi w:val="0"/>
              <w:adjustRightInd w:val="0"/>
              <w:snapToGrid w:val="0"/>
              <w:spacing w:line="360" w:lineRule="auto"/>
              <w:ind w:left="26" w:leftChars="0" w:right="13" w:rightChars="0" w:hanging="5" w:firstLineChars="0"/>
              <w:textAlignment w:val="baseline"/>
              <w:rPr>
                <w:rFonts w:hint="eastAsia" w:ascii="宋体" w:hAnsi="宋体" w:eastAsia="宋体" w:cs="宋体"/>
                <w:b w:val="0"/>
                <w:bCs w:val="0"/>
                <w:color w:val="000000"/>
                <w:sz w:val="28"/>
                <w:szCs w:val="28"/>
              </w:rPr>
            </w:pPr>
            <w:r>
              <w:rPr>
                <w:rFonts w:hint="eastAsia" w:ascii="宋体" w:hAnsi="宋体" w:eastAsia="宋体" w:cs="宋体"/>
                <w:b w:val="0"/>
                <w:bCs w:val="0"/>
                <w:color w:val="000000"/>
                <w:sz w:val="28"/>
                <w:szCs w:val="28"/>
              </w:rPr>
              <w:t>√ 无</w:t>
            </w:r>
          </w:p>
        </w:tc>
      </w:tr>
      <w:tr w14:paraId="1DAD5C1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09" w:hRule="atLeast"/>
        </w:trPr>
        <w:tc>
          <w:tcPr>
            <w:tcW w:w="753" w:type="dxa"/>
            <w:tcBorders>
              <w:left w:val="single" w:color="auto" w:sz="4" w:space="0"/>
              <w:right w:val="single" w:color="auto" w:sz="4" w:space="0"/>
            </w:tcBorders>
            <w:vAlign w:val="top"/>
          </w:tcPr>
          <w:p w14:paraId="79BD5853">
            <w:pPr>
              <w:spacing w:line="407" w:lineRule="auto"/>
              <w:rPr>
                <w:rFonts w:ascii="Arial"/>
                <w:sz w:val="21"/>
              </w:rPr>
            </w:pPr>
          </w:p>
          <w:p w14:paraId="43FAE103">
            <w:pPr>
              <w:pStyle w:val="7"/>
              <w:spacing w:before="91"/>
              <w:ind w:left="316" w:leftChars="0"/>
              <w:rPr>
                <w:rFonts w:hint="eastAsia"/>
                <w:lang w:val="en-US" w:eastAsia="zh-CN"/>
              </w:rPr>
            </w:pPr>
            <w:r>
              <w:rPr>
                <w:rFonts w:hint="eastAsia"/>
                <w:lang w:val="en-US" w:eastAsia="zh-CN"/>
              </w:rPr>
              <w:t>7</w:t>
            </w:r>
          </w:p>
        </w:tc>
        <w:tc>
          <w:tcPr>
            <w:tcW w:w="2091" w:type="dxa"/>
            <w:tcBorders>
              <w:left w:val="single" w:color="auto" w:sz="4" w:space="0"/>
              <w:right w:val="single" w:color="auto" w:sz="4" w:space="0"/>
            </w:tcBorders>
            <w:vAlign w:val="center"/>
          </w:tcPr>
          <w:p w14:paraId="65A02EBD">
            <w:pPr>
              <w:pStyle w:val="7"/>
              <w:keepNext w:val="0"/>
              <w:keepLines w:val="0"/>
              <w:pageBreakBefore w:val="0"/>
              <w:widowControl/>
              <w:tabs>
                <w:tab w:val="left" w:pos="317"/>
              </w:tabs>
              <w:kinsoku w:val="0"/>
              <w:wordWrap/>
              <w:overflowPunct/>
              <w:topLinePunct w:val="0"/>
              <w:autoSpaceDE w:val="0"/>
              <w:autoSpaceDN w:val="0"/>
              <w:bidi w:val="0"/>
              <w:adjustRightInd w:val="0"/>
              <w:snapToGrid w:val="0"/>
              <w:spacing w:line="360" w:lineRule="auto"/>
              <w:ind w:left="0" w:leftChars="0" w:right="0" w:rightChars="0" w:hanging="139" w:firstLineChars="0"/>
              <w:jc w:val="center"/>
              <w:textAlignment w:val="baseline"/>
              <w:rPr>
                <w:spacing w:val="-4"/>
              </w:rPr>
            </w:pPr>
            <w:r>
              <w:rPr>
                <w:spacing w:val="-3"/>
              </w:rPr>
              <w:t>集中答疑</w:t>
            </w:r>
          </w:p>
        </w:tc>
        <w:tc>
          <w:tcPr>
            <w:tcW w:w="6818" w:type="dxa"/>
            <w:tcBorders>
              <w:top w:val="single" w:color="000000" w:sz="4" w:space="0"/>
              <w:left w:val="single" w:color="auto" w:sz="4" w:space="0"/>
              <w:bottom w:val="single" w:color="000000" w:sz="4" w:space="0"/>
            </w:tcBorders>
            <w:vAlign w:val="top"/>
          </w:tcPr>
          <w:p w14:paraId="64E1AD4A">
            <w:pPr>
              <w:pStyle w:val="7"/>
              <w:keepNext w:val="0"/>
              <w:keepLines w:val="0"/>
              <w:pageBreakBefore w:val="0"/>
              <w:widowControl/>
              <w:kinsoku w:val="0"/>
              <w:wordWrap/>
              <w:overflowPunct/>
              <w:topLinePunct w:val="0"/>
              <w:autoSpaceDE w:val="0"/>
              <w:autoSpaceDN w:val="0"/>
              <w:bidi w:val="0"/>
              <w:adjustRightInd w:val="0"/>
              <w:snapToGrid w:val="0"/>
              <w:spacing w:line="360" w:lineRule="auto"/>
              <w:ind w:left="0" w:right="0"/>
              <w:textAlignment w:val="baseline"/>
            </w:pPr>
            <w:r>
              <w:rPr>
                <w:spacing w:val="-4"/>
              </w:rPr>
              <w:t>○组织，集结地点为：</w:t>
            </w:r>
            <w:r>
              <w:rPr>
                <w:u w:val="single" w:color="auto"/>
              </w:rPr>
              <w:t xml:space="preserve">           </w:t>
            </w:r>
          </w:p>
          <w:p w14:paraId="08BF9E47">
            <w:pPr>
              <w:pStyle w:val="7"/>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textAlignment w:val="baseline"/>
              <w:rPr>
                <w:rFonts w:hint="eastAsia" w:ascii="宋体" w:hAnsi="宋体" w:eastAsia="宋体" w:cs="宋体"/>
                <w:b w:val="0"/>
                <w:bCs w:val="0"/>
                <w:color w:val="000000"/>
                <w:sz w:val="28"/>
                <w:szCs w:val="28"/>
              </w:rPr>
            </w:pPr>
            <w:r>
              <w:rPr>
                <w:rFonts w:hint="eastAsia" w:ascii="宋体" w:hAnsi="宋体" w:eastAsia="宋体" w:cs="宋体"/>
                <w:b w:val="0"/>
                <w:bCs w:val="0"/>
                <w:color w:val="000000"/>
                <w:sz w:val="28"/>
                <w:szCs w:val="28"/>
              </w:rPr>
              <w:t>√</w:t>
            </w:r>
            <w:r>
              <w:rPr>
                <w:spacing w:val="-9"/>
              </w:rPr>
              <w:t>不组织</w:t>
            </w:r>
          </w:p>
        </w:tc>
      </w:tr>
      <w:tr w14:paraId="27D1E49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27" w:hRule="atLeast"/>
        </w:trPr>
        <w:tc>
          <w:tcPr>
            <w:tcW w:w="753" w:type="dxa"/>
            <w:tcBorders>
              <w:left w:val="single" w:color="auto" w:sz="4" w:space="0"/>
              <w:right w:val="single" w:color="auto" w:sz="4" w:space="0"/>
            </w:tcBorders>
            <w:vAlign w:val="center"/>
          </w:tcPr>
          <w:p w14:paraId="5152F9B9">
            <w:pPr>
              <w:spacing w:line="407" w:lineRule="auto"/>
              <w:jc w:val="center"/>
              <w:rPr>
                <w:rFonts w:ascii="Arial"/>
                <w:sz w:val="21"/>
              </w:rPr>
            </w:pPr>
          </w:p>
          <w:p w14:paraId="77DFFFE0">
            <w:pPr>
              <w:pStyle w:val="7"/>
              <w:spacing w:before="91"/>
              <w:ind w:left="266" w:leftChars="0"/>
              <w:jc w:val="center"/>
              <w:rPr>
                <w:rFonts w:hint="eastAsia"/>
                <w:lang w:val="en-US" w:eastAsia="zh-CN"/>
              </w:rPr>
            </w:pPr>
            <w:r>
              <w:rPr>
                <w:rFonts w:hint="eastAsia"/>
                <w:spacing w:val="-16"/>
                <w:lang w:val="en-US" w:eastAsia="zh-CN"/>
              </w:rPr>
              <w:t>8</w:t>
            </w:r>
          </w:p>
        </w:tc>
        <w:tc>
          <w:tcPr>
            <w:tcW w:w="2091" w:type="dxa"/>
            <w:tcBorders>
              <w:left w:val="single" w:color="auto" w:sz="4" w:space="0"/>
              <w:right w:val="single" w:color="auto" w:sz="4" w:space="0"/>
            </w:tcBorders>
            <w:vAlign w:val="center"/>
          </w:tcPr>
          <w:p w14:paraId="0E60F2A7">
            <w:pPr>
              <w:spacing w:line="407" w:lineRule="auto"/>
              <w:jc w:val="center"/>
              <w:rPr>
                <w:rFonts w:ascii="Arial"/>
                <w:sz w:val="21"/>
              </w:rPr>
            </w:pPr>
          </w:p>
          <w:p w14:paraId="24071A58">
            <w:pPr>
              <w:pStyle w:val="7"/>
              <w:spacing w:before="91" w:line="219" w:lineRule="auto"/>
              <w:ind w:left="353" w:leftChars="0"/>
              <w:jc w:val="left"/>
              <w:rPr>
                <w:spacing w:val="-4"/>
              </w:rPr>
            </w:pPr>
            <w:r>
              <w:rPr>
                <w:spacing w:val="-3"/>
              </w:rPr>
              <w:t>价格分比重</w:t>
            </w:r>
          </w:p>
        </w:tc>
        <w:tc>
          <w:tcPr>
            <w:tcW w:w="6818" w:type="dxa"/>
            <w:tcBorders>
              <w:top w:val="single" w:color="000000" w:sz="4" w:space="0"/>
              <w:left w:val="single" w:color="auto" w:sz="4" w:space="0"/>
              <w:bottom w:val="single" w:color="000000" w:sz="4" w:space="0"/>
            </w:tcBorders>
            <w:vAlign w:val="top"/>
          </w:tcPr>
          <w:p w14:paraId="060A6869">
            <w:pPr>
              <w:pStyle w:val="7"/>
              <w:keepNext w:val="0"/>
              <w:keepLines w:val="0"/>
              <w:pageBreakBefore w:val="0"/>
              <w:widowControl/>
              <w:kinsoku w:val="0"/>
              <w:wordWrap/>
              <w:overflowPunct/>
              <w:topLinePunct w:val="0"/>
              <w:autoSpaceDE w:val="0"/>
              <w:autoSpaceDN w:val="0"/>
              <w:bidi w:val="0"/>
              <w:adjustRightInd w:val="0"/>
              <w:snapToGrid w:val="0"/>
              <w:spacing w:line="360" w:lineRule="auto"/>
              <w:ind w:left="0" w:leftChars="0"/>
              <w:textAlignment w:val="baseline"/>
              <w:rPr>
                <w:rFonts w:hint="eastAsia" w:ascii="宋体" w:hAnsi="宋体" w:eastAsia="宋体" w:cs="宋体"/>
                <w:b w:val="0"/>
                <w:bCs w:val="0"/>
                <w:color w:val="000000"/>
                <w:sz w:val="28"/>
                <w:szCs w:val="28"/>
              </w:rPr>
            </w:pPr>
            <w:r>
              <w:rPr>
                <w:rFonts w:hint="eastAsia"/>
                <w:spacing w:val="-4"/>
              </w:rPr>
              <w:t>占总分值的10% [招标]根据《政府采购货物和服务招标投标管理办法》（财政部87号令）的规定，综合评分法服务项目的价格分值占总分值的比重不得低于10%。执行国家统一定价标准和采用固定价格采购的项目，其价格不列为评审因素。[磋商]根据《政府采购竞争性磋商采购方式管理暂行办法》（财库{2014}214号）的规定，服务项目的价格分值占总分值的比重（即权值）为10%—30%。</w:t>
            </w:r>
          </w:p>
        </w:tc>
      </w:tr>
      <w:tr w14:paraId="4BA1A1A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59" w:hRule="atLeast"/>
        </w:trPr>
        <w:tc>
          <w:tcPr>
            <w:tcW w:w="753" w:type="dxa"/>
            <w:tcBorders>
              <w:left w:val="single" w:color="auto" w:sz="4" w:space="0"/>
              <w:right w:val="single" w:color="auto" w:sz="4" w:space="0"/>
            </w:tcBorders>
            <w:vAlign w:val="top"/>
          </w:tcPr>
          <w:p w14:paraId="40362866">
            <w:pPr>
              <w:spacing w:line="359" w:lineRule="auto"/>
              <w:rPr>
                <w:rFonts w:ascii="Arial"/>
                <w:sz w:val="21"/>
              </w:rPr>
            </w:pPr>
          </w:p>
          <w:p w14:paraId="2030B1E1">
            <w:pPr>
              <w:spacing w:line="359" w:lineRule="auto"/>
              <w:rPr>
                <w:rFonts w:ascii="Arial"/>
                <w:sz w:val="21"/>
              </w:rPr>
            </w:pPr>
          </w:p>
          <w:p w14:paraId="7109F749">
            <w:pPr>
              <w:pStyle w:val="7"/>
              <w:spacing w:before="91" w:line="242" w:lineRule="auto"/>
              <w:ind w:left="266" w:leftChars="0"/>
              <w:rPr>
                <w:rFonts w:hint="eastAsia"/>
                <w:lang w:val="en-US" w:eastAsia="zh-CN"/>
              </w:rPr>
            </w:pPr>
            <w:r>
              <w:rPr>
                <w:rFonts w:hint="eastAsia"/>
                <w:spacing w:val="-16"/>
                <w:lang w:val="en-US" w:eastAsia="zh-CN"/>
              </w:rPr>
              <w:t>9</w:t>
            </w:r>
          </w:p>
        </w:tc>
        <w:tc>
          <w:tcPr>
            <w:tcW w:w="2091" w:type="dxa"/>
            <w:tcBorders>
              <w:left w:val="single" w:color="auto" w:sz="4" w:space="0"/>
              <w:right w:val="single" w:color="auto" w:sz="4" w:space="0"/>
            </w:tcBorders>
            <w:vAlign w:val="top"/>
          </w:tcPr>
          <w:p w14:paraId="50451FB3">
            <w:pPr>
              <w:spacing w:line="359" w:lineRule="auto"/>
              <w:rPr>
                <w:rFonts w:ascii="Arial"/>
                <w:sz w:val="21"/>
              </w:rPr>
            </w:pPr>
          </w:p>
          <w:p w14:paraId="51FB4B77">
            <w:pPr>
              <w:spacing w:line="360" w:lineRule="auto"/>
              <w:rPr>
                <w:rFonts w:ascii="Arial"/>
                <w:sz w:val="21"/>
              </w:rPr>
            </w:pPr>
          </w:p>
          <w:p w14:paraId="198977C9">
            <w:pPr>
              <w:pStyle w:val="7"/>
              <w:spacing w:before="91" w:line="220" w:lineRule="auto"/>
              <w:ind w:left="494" w:leftChars="0"/>
              <w:rPr>
                <w:spacing w:val="-4"/>
              </w:rPr>
            </w:pPr>
            <w:r>
              <w:rPr>
                <w:spacing w:val="-3"/>
              </w:rPr>
              <w:t>合同类型</w:t>
            </w:r>
          </w:p>
        </w:tc>
        <w:tc>
          <w:tcPr>
            <w:tcW w:w="6818" w:type="dxa"/>
            <w:tcBorders>
              <w:top w:val="single" w:color="000000" w:sz="4" w:space="0"/>
              <w:left w:val="single" w:color="auto" w:sz="4" w:space="0"/>
              <w:bottom w:val="single" w:color="000000" w:sz="4" w:space="0"/>
            </w:tcBorders>
            <w:vAlign w:val="top"/>
          </w:tcPr>
          <w:p w14:paraId="5E881C19">
            <w:pPr>
              <w:pStyle w:val="7"/>
              <w:keepNext w:val="0"/>
              <w:keepLines w:val="0"/>
              <w:pageBreakBefore w:val="0"/>
              <w:widowControl/>
              <w:kinsoku w:val="0"/>
              <w:wordWrap/>
              <w:overflowPunct/>
              <w:topLinePunct w:val="0"/>
              <w:autoSpaceDE w:val="0"/>
              <w:autoSpaceDN w:val="0"/>
              <w:bidi w:val="0"/>
              <w:adjustRightInd w:val="0"/>
              <w:snapToGrid w:val="0"/>
              <w:spacing w:line="360" w:lineRule="auto"/>
              <w:ind w:left="0"/>
              <w:textAlignment w:val="baseline"/>
            </w:pPr>
            <w:r>
              <w:rPr>
                <w:rFonts w:hint="eastAsia" w:ascii="宋体" w:hAnsi="宋体" w:eastAsia="宋体" w:cs="宋体"/>
                <w:b w:val="0"/>
                <w:bCs w:val="0"/>
                <w:color w:val="000000"/>
                <w:sz w:val="28"/>
                <w:szCs w:val="28"/>
              </w:rPr>
              <w:t>√固定总价</w:t>
            </w:r>
          </w:p>
          <w:p w14:paraId="39B28FB2">
            <w:pPr>
              <w:pStyle w:val="7"/>
              <w:keepNext w:val="0"/>
              <w:keepLines w:val="0"/>
              <w:pageBreakBefore w:val="0"/>
              <w:widowControl/>
              <w:kinsoku w:val="0"/>
              <w:wordWrap/>
              <w:overflowPunct/>
              <w:topLinePunct w:val="0"/>
              <w:autoSpaceDE w:val="0"/>
              <w:autoSpaceDN w:val="0"/>
              <w:bidi w:val="0"/>
              <w:adjustRightInd w:val="0"/>
              <w:snapToGrid w:val="0"/>
              <w:spacing w:line="360" w:lineRule="auto"/>
              <w:ind w:left="0"/>
              <w:textAlignment w:val="baseline"/>
            </w:pPr>
            <w:r>
              <w:rPr>
                <w:spacing w:val="-2"/>
              </w:rPr>
              <w:t>○综合单价（适用于采购数量不定的情形）</w:t>
            </w:r>
          </w:p>
          <w:p w14:paraId="005FEC8C">
            <w:pPr>
              <w:pStyle w:val="7"/>
              <w:keepNext w:val="0"/>
              <w:keepLines w:val="0"/>
              <w:pageBreakBefore w:val="0"/>
              <w:widowControl/>
              <w:kinsoku w:val="0"/>
              <w:wordWrap/>
              <w:overflowPunct/>
              <w:topLinePunct w:val="0"/>
              <w:autoSpaceDE w:val="0"/>
              <w:autoSpaceDN w:val="0"/>
              <w:bidi w:val="0"/>
              <w:adjustRightInd w:val="0"/>
              <w:snapToGrid w:val="0"/>
              <w:spacing w:line="360" w:lineRule="auto"/>
              <w:ind w:left="0" w:leftChars="0"/>
              <w:textAlignment w:val="baseline"/>
              <w:rPr>
                <w:rFonts w:hint="eastAsia" w:ascii="宋体" w:hAnsi="宋体" w:eastAsia="宋体" w:cs="宋体"/>
                <w:b w:val="0"/>
                <w:bCs w:val="0"/>
                <w:color w:val="000000"/>
                <w:sz w:val="28"/>
                <w:szCs w:val="28"/>
              </w:rPr>
            </w:pPr>
            <w:r>
              <w:rPr>
                <w:spacing w:val="-9"/>
              </w:rPr>
              <w:t>○其他：</w:t>
            </w:r>
            <w:r>
              <w:rPr>
                <w:u w:val="single" w:color="auto"/>
              </w:rPr>
              <w:t xml:space="preserve">                   </w:t>
            </w:r>
          </w:p>
        </w:tc>
      </w:tr>
      <w:tr w14:paraId="5563F8E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59" w:hRule="atLeast"/>
        </w:trPr>
        <w:tc>
          <w:tcPr>
            <w:tcW w:w="753" w:type="dxa"/>
            <w:tcBorders>
              <w:left w:val="single" w:color="auto" w:sz="4" w:space="0"/>
              <w:right w:val="single" w:color="auto" w:sz="4" w:space="0"/>
            </w:tcBorders>
            <w:vAlign w:val="top"/>
          </w:tcPr>
          <w:p w14:paraId="170EAA63">
            <w:pPr>
              <w:spacing w:line="359" w:lineRule="auto"/>
              <w:rPr>
                <w:rFonts w:ascii="Arial"/>
                <w:sz w:val="21"/>
              </w:rPr>
            </w:pPr>
          </w:p>
          <w:p w14:paraId="1EE2D7E7">
            <w:pPr>
              <w:spacing w:line="359" w:lineRule="auto"/>
              <w:rPr>
                <w:rFonts w:ascii="Arial"/>
                <w:sz w:val="21"/>
              </w:rPr>
            </w:pPr>
          </w:p>
          <w:p w14:paraId="1753A38D">
            <w:pPr>
              <w:pStyle w:val="7"/>
              <w:spacing w:before="91" w:line="242" w:lineRule="auto"/>
              <w:ind w:left="266" w:leftChars="0"/>
              <w:rPr>
                <w:rFonts w:hint="eastAsia"/>
                <w:lang w:val="en-US" w:eastAsia="zh-CN"/>
              </w:rPr>
            </w:pPr>
            <w:r>
              <w:rPr>
                <w:spacing w:val="-16"/>
              </w:rPr>
              <w:t>1</w:t>
            </w:r>
            <w:r>
              <w:rPr>
                <w:rFonts w:hint="eastAsia"/>
                <w:spacing w:val="-16"/>
                <w:lang w:val="en-US" w:eastAsia="zh-CN"/>
              </w:rPr>
              <w:t>0</w:t>
            </w:r>
          </w:p>
        </w:tc>
        <w:tc>
          <w:tcPr>
            <w:tcW w:w="2091" w:type="dxa"/>
            <w:tcBorders>
              <w:left w:val="single" w:color="auto" w:sz="4" w:space="0"/>
              <w:right w:val="single" w:color="auto" w:sz="4" w:space="0"/>
            </w:tcBorders>
            <w:vAlign w:val="top"/>
          </w:tcPr>
          <w:p w14:paraId="6A34EF08">
            <w:pPr>
              <w:spacing w:line="359" w:lineRule="auto"/>
              <w:rPr>
                <w:rFonts w:ascii="Arial"/>
                <w:sz w:val="21"/>
              </w:rPr>
            </w:pPr>
          </w:p>
          <w:p w14:paraId="7A99A4DE">
            <w:pPr>
              <w:spacing w:line="360" w:lineRule="auto"/>
              <w:rPr>
                <w:rFonts w:ascii="Arial"/>
                <w:sz w:val="21"/>
              </w:rPr>
            </w:pPr>
          </w:p>
          <w:p w14:paraId="313A021E">
            <w:pPr>
              <w:pStyle w:val="7"/>
              <w:spacing w:before="91" w:line="220" w:lineRule="auto"/>
              <w:ind w:left="218" w:leftChars="0"/>
              <w:rPr>
                <w:spacing w:val="-4"/>
              </w:rPr>
            </w:pPr>
            <w:r>
              <w:rPr>
                <w:spacing w:val="-3"/>
              </w:rPr>
              <w:t>争议解决途径</w:t>
            </w:r>
          </w:p>
        </w:tc>
        <w:tc>
          <w:tcPr>
            <w:tcW w:w="6818" w:type="dxa"/>
            <w:tcBorders>
              <w:top w:val="single" w:color="000000" w:sz="4" w:space="0"/>
              <w:left w:val="single" w:color="auto" w:sz="4" w:space="0"/>
              <w:bottom w:val="single" w:color="000000" w:sz="4" w:space="0"/>
            </w:tcBorders>
            <w:vAlign w:val="top"/>
          </w:tcPr>
          <w:p w14:paraId="524B38E7">
            <w:pPr>
              <w:pStyle w:val="7"/>
              <w:keepNext w:val="0"/>
              <w:keepLines w:val="0"/>
              <w:pageBreakBefore w:val="0"/>
              <w:widowControl/>
              <w:kinsoku w:val="0"/>
              <w:wordWrap/>
              <w:overflowPunct/>
              <w:topLinePunct w:val="0"/>
              <w:autoSpaceDE w:val="0"/>
              <w:autoSpaceDN w:val="0"/>
              <w:bidi w:val="0"/>
              <w:adjustRightInd w:val="0"/>
              <w:snapToGrid w:val="0"/>
              <w:spacing w:line="360" w:lineRule="auto"/>
              <w:ind w:left="0"/>
              <w:textAlignment w:val="baseline"/>
            </w:pPr>
            <w:r>
              <w:rPr>
                <w:rFonts w:hint="eastAsia" w:ascii="宋体" w:hAnsi="宋体" w:eastAsia="宋体" w:cs="宋体"/>
                <w:b w:val="0"/>
                <w:bCs w:val="0"/>
                <w:color w:val="000000"/>
                <w:sz w:val="28"/>
                <w:szCs w:val="28"/>
              </w:rPr>
              <w:t>√</w:t>
            </w:r>
            <w:r>
              <w:rPr>
                <w:spacing w:val="-3"/>
              </w:rPr>
              <w:t>向有管辖权的人民法院提起诉讼</w:t>
            </w:r>
          </w:p>
          <w:p w14:paraId="2F1C7ED3">
            <w:pPr>
              <w:pStyle w:val="7"/>
              <w:keepNext w:val="0"/>
              <w:keepLines w:val="0"/>
              <w:pageBreakBefore w:val="0"/>
              <w:widowControl/>
              <w:kinsoku w:val="0"/>
              <w:wordWrap/>
              <w:overflowPunct/>
              <w:topLinePunct w:val="0"/>
              <w:autoSpaceDE w:val="0"/>
              <w:autoSpaceDN w:val="0"/>
              <w:bidi w:val="0"/>
              <w:adjustRightInd w:val="0"/>
              <w:snapToGrid w:val="0"/>
              <w:spacing w:line="360" w:lineRule="auto"/>
              <w:ind w:left="0"/>
              <w:textAlignment w:val="baseline"/>
            </w:pPr>
            <w:r>
              <w:rPr>
                <w:spacing w:val="-3"/>
              </w:rPr>
              <w:t>○向西安仲裁委员会提请仲裁</w:t>
            </w:r>
          </w:p>
          <w:p w14:paraId="11708972">
            <w:pPr>
              <w:pStyle w:val="7"/>
              <w:keepNext w:val="0"/>
              <w:keepLines w:val="0"/>
              <w:pageBreakBefore w:val="0"/>
              <w:widowControl/>
              <w:kinsoku w:val="0"/>
              <w:wordWrap/>
              <w:overflowPunct/>
              <w:topLinePunct w:val="0"/>
              <w:autoSpaceDE w:val="0"/>
              <w:autoSpaceDN w:val="0"/>
              <w:bidi w:val="0"/>
              <w:adjustRightInd w:val="0"/>
              <w:snapToGrid w:val="0"/>
              <w:spacing w:line="360" w:lineRule="auto"/>
              <w:ind w:left="0" w:leftChars="0"/>
              <w:textAlignment w:val="baseline"/>
              <w:rPr>
                <w:rFonts w:hint="eastAsia" w:ascii="宋体" w:hAnsi="宋体" w:eastAsia="宋体" w:cs="宋体"/>
                <w:b w:val="0"/>
                <w:bCs w:val="0"/>
                <w:color w:val="000000"/>
                <w:sz w:val="28"/>
                <w:szCs w:val="28"/>
              </w:rPr>
            </w:pPr>
            <w:r>
              <w:rPr>
                <w:spacing w:val="-3"/>
              </w:rPr>
              <w:t>○</w:t>
            </w:r>
            <w:r>
              <w:rPr>
                <w:spacing w:val="-4"/>
              </w:rPr>
              <w:t>由供应商做出选择</w:t>
            </w:r>
          </w:p>
        </w:tc>
      </w:tr>
      <w:tr w14:paraId="4CDBDAF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59" w:hRule="atLeast"/>
        </w:trPr>
        <w:tc>
          <w:tcPr>
            <w:tcW w:w="753" w:type="dxa"/>
            <w:tcBorders>
              <w:left w:val="single" w:color="auto" w:sz="4" w:space="0"/>
              <w:bottom w:val="single" w:color="auto" w:sz="4" w:space="0"/>
              <w:right w:val="single" w:color="auto" w:sz="4" w:space="0"/>
            </w:tcBorders>
            <w:vAlign w:val="top"/>
          </w:tcPr>
          <w:p w14:paraId="329791AE">
            <w:pPr>
              <w:rPr>
                <w:rFonts w:ascii="Arial"/>
                <w:sz w:val="21"/>
              </w:rPr>
            </w:pPr>
          </w:p>
          <w:p w14:paraId="07F5F3CF">
            <w:pPr>
              <w:rPr>
                <w:rFonts w:ascii="Arial"/>
                <w:sz w:val="21"/>
              </w:rPr>
            </w:pPr>
          </w:p>
          <w:p w14:paraId="66460987">
            <w:pPr>
              <w:spacing w:line="241" w:lineRule="auto"/>
              <w:rPr>
                <w:rFonts w:ascii="Arial"/>
                <w:sz w:val="21"/>
              </w:rPr>
            </w:pPr>
          </w:p>
          <w:p w14:paraId="12E742C4">
            <w:pPr>
              <w:pStyle w:val="7"/>
              <w:spacing w:before="91"/>
              <w:ind w:left="266" w:leftChars="0"/>
              <w:rPr>
                <w:spacing w:val="-16"/>
              </w:rPr>
            </w:pPr>
            <w:r>
              <w:rPr>
                <w:spacing w:val="-16"/>
              </w:rPr>
              <w:t>1</w:t>
            </w:r>
            <w:r>
              <w:rPr>
                <w:rFonts w:hint="eastAsia"/>
                <w:spacing w:val="-16"/>
                <w:lang w:val="en-US" w:eastAsia="zh-CN"/>
              </w:rPr>
              <w:t>1</w:t>
            </w:r>
          </w:p>
        </w:tc>
        <w:tc>
          <w:tcPr>
            <w:tcW w:w="2091" w:type="dxa"/>
            <w:tcBorders>
              <w:left w:val="single" w:color="auto" w:sz="4" w:space="0"/>
              <w:bottom w:val="single" w:color="auto" w:sz="4" w:space="0"/>
              <w:right w:val="single" w:color="auto" w:sz="4" w:space="0"/>
            </w:tcBorders>
            <w:vAlign w:val="top"/>
          </w:tcPr>
          <w:p w14:paraId="5CEEA7F4">
            <w:pPr>
              <w:rPr>
                <w:rFonts w:ascii="Arial"/>
                <w:sz w:val="21"/>
              </w:rPr>
            </w:pPr>
          </w:p>
          <w:p w14:paraId="5CA50D1B">
            <w:pPr>
              <w:spacing w:line="241" w:lineRule="auto"/>
              <w:rPr>
                <w:rFonts w:ascii="Arial"/>
                <w:sz w:val="21"/>
              </w:rPr>
            </w:pPr>
          </w:p>
          <w:p w14:paraId="29F49002">
            <w:pPr>
              <w:spacing w:line="241" w:lineRule="auto"/>
              <w:rPr>
                <w:rFonts w:ascii="Arial"/>
                <w:sz w:val="21"/>
              </w:rPr>
            </w:pPr>
          </w:p>
          <w:p w14:paraId="036F4AF3">
            <w:pPr>
              <w:pStyle w:val="7"/>
              <w:spacing w:before="91" w:line="221" w:lineRule="auto"/>
              <w:ind w:left="494" w:leftChars="0"/>
              <w:rPr>
                <w:spacing w:val="-3"/>
              </w:rPr>
            </w:pPr>
            <w:r>
              <w:rPr>
                <w:spacing w:val="-3"/>
              </w:rPr>
              <w:t>联系方式</w:t>
            </w:r>
          </w:p>
        </w:tc>
        <w:tc>
          <w:tcPr>
            <w:tcW w:w="6818" w:type="dxa"/>
            <w:tcBorders>
              <w:top w:val="single" w:color="000000" w:sz="4" w:space="0"/>
              <w:left w:val="single" w:color="auto" w:sz="4" w:space="0"/>
              <w:bottom w:val="single" w:color="000000" w:sz="4" w:space="0"/>
            </w:tcBorders>
            <w:vAlign w:val="top"/>
          </w:tcPr>
          <w:p w14:paraId="6F330E0E">
            <w:pPr>
              <w:pStyle w:val="7"/>
              <w:keepNext w:val="0"/>
              <w:keepLines w:val="0"/>
              <w:pageBreakBefore w:val="0"/>
              <w:widowControl/>
              <w:kinsoku w:val="0"/>
              <w:wordWrap/>
              <w:overflowPunct/>
              <w:topLinePunct w:val="0"/>
              <w:autoSpaceDE w:val="0"/>
              <w:autoSpaceDN w:val="0"/>
              <w:bidi w:val="0"/>
              <w:adjustRightInd w:val="0"/>
              <w:snapToGrid w:val="0"/>
              <w:spacing w:line="360" w:lineRule="auto"/>
              <w:ind w:left="0"/>
              <w:textAlignment w:val="baseline"/>
            </w:pPr>
            <w:r>
              <w:rPr>
                <w:spacing w:val="-2"/>
              </w:rPr>
              <w:t>项目对接人：</w:t>
            </w:r>
            <w:r>
              <w:rPr>
                <w:spacing w:val="-2"/>
                <w:u w:val="single" w:color="auto"/>
              </w:rPr>
              <w:t xml:space="preserve"> </w:t>
            </w:r>
            <w:r>
              <w:rPr>
                <w:rFonts w:hint="eastAsia"/>
                <w:spacing w:val="2"/>
                <w:u w:val="single" w:color="auto"/>
              </w:rPr>
              <w:t>杨尧宇</w:t>
            </w:r>
            <w:r>
              <w:rPr>
                <w:spacing w:val="2"/>
                <w:u w:val="single" w:color="auto"/>
              </w:rPr>
              <w:t xml:space="preserve"> </w:t>
            </w:r>
          </w:p>
          <w:p w14:paraId="0E763192">
            <w:pPr>
              <w:pStyle w:val="7"/>
              <w:keepNext w:val="0"/>
              <w:keepLines w:val="0"/>
              <w:pageBreakBefore w:val="0"/>
              <w:widowControl/>
              <w:kinsoku w:val="0"/>
              <w:wordWrap/>
              <w:overflowPunct/>
              <w:topLinePunct w:val="0"/>
              <w:autoSpaceDE w:val="0"/>
              <w:autoSpaceDN w:val="0"/>
              <w:bidi w:val="0"/>
              <w:adjustRightInd w:val="0"/>
              <w:snapToGrid w:val="0"/>
              <w:spacing w:line="360" w:lineRule="auto"/>
              <w:ind w:left="0"/>
              <w:textAlignment w:val="baseline"/>
            </w:pPr>
            <w:r>
              <w:rPr>
                <w:spacing w:val="-3"/>
              </w:rPr>
              <w:t>联系电话：</w:t>
            </w:r>
            <w:r>
              <w:rPr>
                <w:spacing w:val="18"/>
                <w:u w:val="single" w:color="auto"/>
              </w:rPr>
              <w:t xml:space="preserve"> </w:t>
            </w:r>
            <w:r>
              <w:rPr>
                <w:rFonts w:hint="eastAsia"/>
                <w:spacing w:val="18"/>
                <w:u w:val="single" w:color="auto"/>
              </w:rPr>
              <w:t>15991647270</w:t>
            </w:r>
          </w:p>
          <w:p w14:paraId="1821C0F4">
            <w:pPr>
              <w:pStyle w:val="7"/>
              <w:keepNext w:val="0"/>
              <w:keepLines w:val="0"/>
              <w:pageBreakBefore w:val="0"/>
              <w:widowControl/>
              <w:kinsoku w:val="0"/>
              <w:wordWrap/>
              <w:overflowPunct/>
              <w:topLinePunct w:val="0"/>
              <w:autoSpaceDE w:val="0"/>
              <w:autoSpaceDN w:val="0"/>
              <w:bidi w:val="0"/>
              <w:adjustRightInd w:val="0"/>
              <w:snapToGrid w:val="0"/>
              <w:spacing w:line="360" w:lineRule="auto"/>
              <w:ind w:left="0" w:leftChars="0"/>
              <w:textAlignment w:val="baseline"/>
              <w:rPr>
                <w:spacing w:val="-3"/>
              </w:rPr>
            </w:pPr>
            <w:r>
              <w:rPr>
                <w:spacing w:val="-9"/>
              </w:rPr>
              <w:t>电子信箱：</w:t>
            </w:r>
            <w:r>
              <w:rPr>
                <w:spacing w:val="1"/>
                <w:u w:val="single" w:color="auto"/>
              </w:rPr>
              <w:t xml:space="preserve">      </w:t>
            </w:r>
            <w:r>
              <w:rPr>
                <w:spacing w:val="-9"/>
                <w:u w:val="single" w:color="auto"/>
              </w:rPr>
              <w:t>/</w:t>
            </w:r>
            <w:r>
              <w:rPr>
                <w:u w:val="single" w:color="auto"/>
              </w:rPr>
              <w:t xml:space="preserve">       </w:t>
            </w:r>
          </w:p>
        </w:tc>
      </w:tr>
    </w:tbl>
    <w:p w14:paraId="4D4863A5">
      <w:pPr>
        <w:rPr>
          <w:rFonts w:ascii="Arial"/>
          <w:sz w:val="21"/>
        </w:rPr>
      </w:pPr>
    </w:p>
    <w:p w14:paraId="59449B4A">
      <w:pPr>
        <w:rPr>
          <w:rFonts w:ascii="Arial"/>
          <w:sz w:val="21"/>
        </w:rPr>
      </w:pPr>
    </w:p>
    <w:p w14:paraId="2980467F">
      <w:pPr>
        <w:rPr>
          <w:rFonts w:ascii="Arial" w:hAnsi="Arial" w:eastAsia="Arial" w:cs="Arial"/>
          <w:sz w:val="21"/>
          <w:szCs w:val="21"/>
        </w:rPr>
        <w:sectPr>
          <w:pgSz w:w="11906" w:h="16839"/>
          <w:pgMar w:top="1416" w:right="1408" w:bottom="1417" w:left="816" w:header="0" w:footer="0" w:gutter="0"/>
          <w:cols w:space="720" w:num="1"/>
        </w:sectPr>
      </w:pPr>
    </w:p>
    <w:p w14:paraId="77E4171A">
      <w:pPr>
        <w:pStyle w:val="2"/>
        <w:spacing w:before="148" w:line="219" w:lineRule="auto"/>
        <w:ind w:left="3950"/>
        <w:outlineLvl w:val="0"/>
        <w:rPr>
          <w:rFonts w:hint="eastAsia" w:eastAsia="宋体"/>
          <w:sz w:val="30"/>
          <w:szCs w:val="30"/>
          <w:lang w:eastAsia="zh-CN"/>
        </w:rPr>
      </w:pPr>
      <w:r>
        <w:rPr>
          <w:b/>
          <w:bCs/>
          <w:spacing w:val="-10"/>
          <w:sz w:val="30"/>
          <w:szCs w:val="30"/>
        </w:rPr>
        <w:t>需求框架</w:t>
      </w:r>
      <w:r>
        <w:rPr>
          <w:rFonts w:hint="eastAsia"/>
          <w:b/>
          <w:bCs/>
          <w:spacing w:val="-10"/>
          <w:sz w:val="30"/>
          <w:szCs w:val="30"/>
          <w:lang w:eastAsia="zh-CN"/>
        </w:rPr>
        <w:t>（</w:t>
      </w:r>
      <w:r>
        <w:rPr>
          <w:rFonts w:hint="eastAsia"/>
          <w:b/>
          <w:bCs/>
          <w:spacing w:val="-10"/>
          <w:sz w:val="30"/>
          <w:szCs w:val="30"/>
          <w:lang w:val="en-US" w:eastAsia="zh-CN"/>
        </w:rPr>
        <w:t>服务类</w:t>
      </w:r>
      <w:r>
        <w:rPr>
          <w:rFonts w:hint="eastAsia"/>
          <w:b/>
          <w:bCs/>
          <w:spacing w:val="-10"/>
          <w:sz w:val="30"/>
          <w:szCs w:val="30"/>
          <w:lang w:eastAsia="zh-CN"/>
        </w:rPr>
        <w:t>）</w:t>
      </w:r>
    </w:p>
    <w:p w14:paraId="4993EF70">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textAlignment w:val="baseline"/>
        <w:outlineLvl w:val="1"/>
      </w:pPr>
      <w:r>
        <w:rPr>
          <w:b/>
          <w:bCs/>
          <w:spacing w:val="-5"/>
        </w:rPr>
        <w:t>一、项目概况</w:t>
      </w:r>
    </w:p>
    <w:p w14:paraId="754175FC">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firstLine="552" w:firstLineChars="200"/>
        <w:textAlignment w:val="baseline"/>
        <w:rPr>
          <w:rFonts w:hint="eastAsia"/>
          <w:spacing w:val="-2"/>
          <w:lang w:eastAsia="zh-CN"/>
        </w:rPr>
      </w:pPr>
      <w:r>
        <w:rPr>
          <w:rFonts w:hint="eastAsia"/>
          <w:spacing w:val="-2"/>
        </w:rPr>
        <w:t>蓝田县2026年中央水利发展资金山洪灾害防治非工程措施维修养护项目</w:t>
      </w:r>
      <w:r>
        <w:rPr>
          <w:rFonts w:hint="eastAsia"/>
          <w:spacing w:val="-2"/>
          <w:lang w:val="en-US" w:eastAsia="zh-CN"/>
        </w:rPr>
        <w:t>位于</w:t>
      </w:r>
      <w:r>
        <w:rPr>
          <w:rFonts w:hint="eastAsia"/>
          <w:spacing w:val="-2"/>
        </w:rPr>
        <w:t>陕西省关中平原南部</w:t>
      </w:r>
      <w:r>
        <w:rPr>
          <w:rFonts w:hint="eastAsia"/>
          <w:spacing w:val="-2"/>
          <w:lang w:eastAsia="zh-CN"/>
        </w:rPr>
        <w:t>，</w:t>
      </w:r>
      <w:r>
        <w:rPr>
          <w:rFonts w:hint="eastAsia"/>
          <w:spacing w:val="-2"/>
        </w:rPr>
        <w:t xml:space="preserve">总投资 </w:t>
      </w:r>
      <w:r>
        <w:rPr>
          <w:rFonts w:hint="eastAsia"/>
          <w:spacing w:val="-2"/>
          <w:lang w:val="en-US" w:eastAsia="zh-CN"/>
        </w:rPr>
        <w:t>13</w:t>
      </w:r>
      <w:r>
        <w:rPr>
          <w:rFonts w:hint="eastAsia"/>
          <w:spacing w:val="-2"/>
        </w:rPr>
        <w:t>万元。</w:t>
      </w:r>
      <w:r>
        <w:rPr>
          <w:rFonts w:hint="eastAsia"/>
          <w:spacing w:val="-2"/>
          <w:lang w:val="en-US" w:eastAsia="zh-CN"/>
        </w:rPr>
        <w:t>具体维修养护内容为</w:t>
      </w:r>
      <w:r>
        <w:rPr>
          <w:rFonts w:hint="eastAsia"/>
          <w:spacing w:val="-2"/>
        </w:rPr>
        <w:t>视频会议系统 1 套</w:t>
      </w:r>
      <w:r>
        <w:rPr>
          <w:rFonts w:hint="eastAsia"/>
          <w:spacing w:val="-2"/>
          <w:lang w:eastAsia="zh-CN"/>
        </w:rPr>
        <w:t>、</w:t>
      </w:r>
      <w:r>
        <w:rPr>
          <w:rFonts w:hint="eastAsia"/>
          <w:spacing w:val="-2"/>
        </w:rPr>
        <w:t>无线预警广播 94 处</w:t>
      </w:r>
      <w:r>
        <w:rPr>
          <w:rFonts w:hint="eastAsia"/>
          <w:spacing w:val="-2"/>
          <w:lang w:eastAsia="zh-CN"/>
        </w:rPr>
        <w:t>、</w:t>
      </w:r>
      <w:r>
        <w:rPr>
          <w:rFonts w:hint="eastAsia"/>
          <w:spacing w:val="-2"/>
        </w:rPr>
        <w:t>视频监控站 12 处</w:t>
      </w:r>
      <w:r>
        <w:rPr>
          <w:rFonts w:hint="eastAsia"/>
          <w:spacing w:val="-2"/>
          <w:lang w:eastAsia="zh-CN"/>
        </w:rPr>
        <w:t>、</w:t>
      </w:r>
      <w:r>
        <w:rPr>
          <w:rFonts w:hint="eastAsia"/>
          <w:spacing w:val="-2"/>
        </w:rPr>
        <w:t>机房网络设备 1 套</w:t>
      </w:r>
      <w:r>
        <w:rPr>
          <w:rFonts w:hint="eastAsia"/>
          <w:spacing w:val="-2"/>
          <w:lang w:eastAsia="zh-CN"/>
        </w:rPr>
        <w:t>、</w:t>
      </w:r>
      <w:r>
        <w:rPr>
          <w:rFonts w:hint="eastAsia"/>
          <w:spacing w:val="-2"/>
        </w:rPr>
        <w:t>会商室功放更换 1 套</w:t>
      </w:r>
      <w:r>
        <w:rPr>
          <w:rFonts w:hint="eastAsia"/>
          <w:spacing w:val="-2"/>
          <w:lang w:eastAsia="zh-CN"/>
        </w:rPr>
        <w:t>。</w:t>
      </w:r>
    </w:p>
    <w:p w14:paraId="24151B62">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textAlignment w:val="baseline"/>
        <w:outlineLvl w:val="1"/>
      </w:pPr>
      <w:r>
        <w:rPr>
          <w:b/>
          <w:bCs/>
          <w:spacing w:val="-3"/>
        </w:rPr>
        <w:t>二、</w:t>
      </w:r>
      <w:r>
        <w:rPr>
          <w:rFonts w:hint="eastAsia" w:ascii="宋体" w:hAnsi="宋体" w:eastAsia="宋体" w:cs="宋体"/>
          <w:b/>
          <w:bCs/>
          <w:color w:val="000000"/>
          <w:sz w:val="28"/>
          <w:szCs w:val="28"/>
        </w:rPr>
        <w:t>维修养护内容</w:t>
      </w:r>
      <w:r>
        <w:rPr>
          <w:rFonts w:hint="eastAsia" w:ascii="宋体" w:hAnsi="宋体" w:eastAsia="宋体" w:cs="宋体"/>
          <w:b/>
          <w:bCs/>
          <w:color w:val="000000"/>
          <w:sz w:val="28"/>
          <w:szCs w:val="28"/>
          <w:lang w:eastAsia="zh-CN"/>
        </w:rPr>
        <w:t>、</w:t>
      </w:r>
      <w:r>
        <w:rPr>
          <w:rFonts w:hint="default" w:ascii="宋体" w:hAnsi="宋体" w:eastAsia="宋体" w:cs="宋体"/>
          <w:b/>
          <w:bCs/>
          <w:color w:val="000000"/>
          <w:sz w:val="28"/>
          <w:szCs w:val="28"/>
        </w:rPr>
        <w:t>维保期限</w:t>
      </w:r>
      <w:r>
        <w:rPr>
          <w:rFonts w:hint="eastAsia" w:ascii="宋体" w:hAnsi="宋体" w:eastAsia="宋体" w:cs="宋体"/>
          <w:b/>
          <w:bCs/>
          <w:color w:val="000000"/>
          <w:sz w:val="28"/>
          <w:szCs w:val="28"/>
          <w:lang w:val="en-US" w:eastAsia="zh-CN"/>
        </w:rPr>
        <w:t>及</w:t>
      </w:r>
      <w:r>
        <w:rPr>
          <w:rFonts w:hint="default" w:ascii="宋体" w:hAnsi="宋体" w:eastAsia="宋体" w:cs="宋体"/>
          <w:b/>
          <w:bCs/>
          <w:color w:val="000000"/>
          <w:sz w:val="28"/>
          <w:szCs w:val="28"/>
        </w:rPr>
        <w:t>维</w:t>
      </w:r>
      <w:r>
        <w:rPr>
          <w:rFonts w:hint="default" w:ascii="仿宋_GB2312" w:hAnsi="宋体" w:eastAsia="仿宋_GB2312" w:cs="仿宋_GB2312"/>
          <w:b/>
          <w:bCs/>
          <w:color w:val="000000"/>
          <w:sz w:val="31"/>
          <w:szCs w:val="31"/>
        </w:rPr>
        <w:t>护</w:t>
      </w:r>
      <w:r>
        <w:rPr>
          <w:rFonts w:hint="eastAsia" w:ascii="宋体" w:hAnsi="宋体" w:eastAsia="宋体" w:cs="宋体"/>
          <w:b/>
          <w:bCs/>
          <w:color w:val="000000"/>
          <w:sz w:val="28"/>
          <w:szCs w:val="28"/>
        </w:rPr>
        <w:t>要求</w:t>
      </w:r>
    </w:p>
    <w:p w14:paraId="23818888">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right="0" w:rightChars="0" w:firstLine="554" w:firstLineChars="200"/>
        <w:textAlignment w:val="baseline"/>
        <w:rPr>
          <w:rFonts w:hint="eastAsia" w:ascii="宋体" w:hAnsi="宋体" w:eastAsia="宋体" w:cs="宋体"/>
          <w:b/>
          <w:bCs/>
          <w:spacing w:val="-2"/>
          <w:sz w:val="28"/>
          <w:szCs w:val="28"/>
        </w:rPr>
      </w:pPr>
      <w:r>
        <w:rPr>
          <w:rFonts w:hint="eastAsia" w:ascii="宋体" w:hAnsi="宋体" w:eastAsia="宋体" w:cs="宋体"/>
          <w:b/>
          <w:bCs/>
          <w:spacing w:val="-2"/>
          <w:sz w:val="28"/>
          <w:szCs w:val="28"/>
        </w:rPr>
        <w:t>（</w:t>
      </w:r>
      <w:r>
        <w:rPr>
          <w:rFonts w:hint="eastAsia" w:ascii="宋体" w:hAnsi="宋体" w:eastAsia="宋体" w:cs="宋体"/>
          <w:b/>
          <w:bCs/>
          <w:spacing w:val="-2"/>
          <w:sz w:val="28"/>
          <w:szCs w:val="28"/>
          <w:lang w:val="en-US" w:eastAsia="zh-CN"/>
        </w:rPr>
        <w:t>一</w:t>
      </w:r>
      <w:r>
        <w:rPr>
          <w:rFonts w:hint="eastAsia" w:ascii="宋体" w:hAnsi="宋体" w:eastAsia="宋体" w:cs="宋体"/>
          <w:b/>
          <w:bCs/>
          <w:spacing w:val="-2"/>
          <w:sz w:val="28"/>
          <w:szCs w:val="28"/>
        </w:rPr>
        <w:t xml:space="preserve">）维修养护内容 </w:t>
      </w:r>
    </w:p>
    <w:p w14:paraId="6695D0EA">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right="0" w:rightChars="0" w:firstLine="552" w:firstLineChars="200"/>
        <w:textAlignment w:val="baseline"/>
        <w:rPr>
          <w:rFonts w:hint="default"/>
          <w:spacing w:val="-2"/>
        </w:rPr>
      </w:pPr>
      <w:r>
        <w:rPr>
          <w:rFonts w:hint="default"/>
          <w:spacing w:val="-2"/>
        </w:rPr>
        <w:t xml:space="preserve">1、视频会议系统 1 套，包含县级 MCU1 台，县级视频会议系统1套，岱峪、汤峪、鹿塬水库视频会议系统 3 套（包含视频会议专线费用）。 </w:t>
      </w:r>
    </w:p>
    <w:p w14:paraId="453B8C07">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right="0" w:rightChars="0" w:firstLine="552" w:firstLineChars="200"/>
        <w:textAlignment w:val="baseline"/>
        <w:rPr>
          <w:rFonts w:hint="default"/>
          <w:spacing w:val="-2"/>
        </w:rPr>
      </w:pPr>
      <w:r>
        <w:rPr>
          <w:rFonts w:hint="default"/>
          <w:spacing w:val="-2"/>
        </w:rPr>
        <w:t xml:space="preserve">2、无线预警广播 94 处，其中 2022 年补充建设无线预警广播 16 套，简易雨量站 69 处。 </w:t>
      </w:r>
    </w:p>
    <w:p w14:paraId="7FC7E6D9">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right="0" w:rightChars="0" w:firstLine="552" w:firstLineChars="200"/>
        <w:textAlignment w:val="baseline"/>
        <w:rPr>
          <w:rFonts w:hint="default"/>
          <w:spacing w:val="-2"/>
        </w:rPr>
      </w:pPr>
      <w:r>
        <w:rPr>
          <w:rFonts w:hint="default"/>
          <w:spacing w:val="-2"/>
        </w:rPr>
        <w:t xml:space="preserve">3、视频监控站 12 处。山洪灾害非工程措施项目建设 3 处，2018 年市级建设 7 处，2022 年县级建设 2 处。 </w:t>
      </w:r>
    </w:p>
    <w:p w14:paraId="1AA48523">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right="0" w:rightChars="0" w:firstLine="552" w:firstLineChars="200"/>
        <w:textAlignment w:val="baseline"/>
        <w:rPr>
          <w:rFonts w:hint="default"/>
          <w:spacing w:val="-2"/>
        </w:rPr>
      </w:pPr>
      <w:r>
        <w:rPr>
          <w:rFonts w:hint="default"/>
          <w:spacing w:val="-2"/>
        </w:rPr>
        <w:t xml:space="preserve">4、机房网络设备 1 套。 </w:t>
      </w:r>
    </w:p>
    <w:p w14:paraId="682C2E2D">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right="0" w:rightChars="0" w:firstLine="552" w:firstLineChars="200"/>
        <w:textAlignment w:val="baseline"/>
        <w:rPr>
          <w:rFonts w:hint="default" w:ascii="仿宋_GB2312" w:hAnsi="宋体" w:eastAsia="仿宋_GB2312" w:cs="仿宋_GB2312"/>
          <w:b w:val="0"/>
          <w:bCs w:val="0"/>
          <w:color w:val="000000"/>
          <w:sz w:val="31"/>
          <w:szCs w:val="31"/>
        </w:rPr>
      </w:pPr>
      <w:r>
        <w:rPr>
          <w:rFonts w:hint="default"/>
          <w:spacing w:val="-2"/>
        </w:rPr>
        <w:t>5、会商室功放更换 1 套。</w:t>
      </w:r>
      <w:r>
        <w:rPr>
          <w:rFonts w:hint="default" w:ascii="仿宋_GB2312" w:hAnsi="宋体" w:eastAsia="仿宋_GB2312" w:cs="仿宋_GB2312"/>
          <w:b w:val="0"/>
          <w:bCs w:val="0"/>
          <w:color w:val="000000"/>
          <w:sz w:val="31"/>
          <w:szCs w:val="31"/>
        </w:rPr>
        <w:t xml:space="preserve"> </w:t>
      </w:r>
    </w:p>
    <w:p w14:paraId="0D22CFC3">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right="0" w:rightChars="0" w:firstLine="554" w:firstLineChars="200"/>
        <w:textAlignment w:val="baseline"/>
        <w:rPr>
          <w:rFonts w:hint="eastAsia" w:ascii="宋体" w:hAnsi="宋体" w:eastAsia="宋体" w:cs="宋体"/>
          <w:spacing w:val="-2"/>
          <w:sz w:val="28"/>
          <w:szCs w:val="28"/>
        </w:rPr>
      </w:pPr>
      <w:r>
        <w:rPr>
          <w:rFonts w:hint="eastAsia" w:ascii="宋体" w:hAnsi="宋体" w:eastAsia="宋体" w:cs="宋体"/>
          <w:b/>
          <w:bCs/>
          <w:spacing w:val="-2"/>
          <w:sz w:val="28"/>
          <w:szCs w:val="28"/>
        </w:rPr>
        <w:t>（</w:t>
      </w:r>
      <w:r>
        <w:rPr>
          <w:rFonts w:hint="eastAsia" w:ascii="宋体" w:hAnsi="宋体" w:eastAsia="宋体" w:cs="宋体"/>
          <w:b/>
          <w:bCs/>
          <w:spacing w:val="-2"/>
          <w:sz w:val="28"/>
          <w:szCs w:val="28"/>
          <w:lang w:val="en-US" w:eastAsia="zh-CN"/>
        </w:rPr>
        <w:t>二</w:t>
      </w:r>
      <w:r>
        <w:rPr>
          <w:rFonts w:hint="eastAsia" w:ascii="宋体" w:hAnsi="宋体" w:eastAsia="宋体" w:cs="宋体"/>
          <w:b/>
          <w:bCs/>
          <w:spacing w:val="-2"/>
          <w:sz w:val="28"/>
          <w:szCs w:val="28"/>
        </w:rPr>
        <w:t>）维保期限</w:t>
      </w:r>
      <w:r>
        <w:rPr>
          <w:rFonts w:hint="eastAsia" w:ascii="宋体" w:hAnsi="宋体" w:eastAsia="宋体" w:cs="宋体"/>
          <w:spacing w:val="-2"/>
          <w:sz w:val="28"/>
          <w:szCs w:val="28"/>
        </w:rPr>
        <w:t xml:space="preserve"> </w:t>
      </w:r>
    </w:p>
    <w:p w14:paraId="7690B8F6">
      <w:pPr>
        <w:pStyle w:val="2"/>
        <w:keepNext w:val="0"/>
        <w:keepLines w:val="0"/>
        <w:pageBreakBefore w:val="0"/>
        <w:widowControl/>
        <w:kinsoku w:val="0"/>
        <w:wordWrap/>
        <w:overflowPunct/>
        <w:topLinePunct w:val="0"/>
        <w:autoSpaceDE w:val="0"/>
        <w:autoSpaceDN w:val="0"/>
        <w:bidi w:val="0"/>
        <w:adjustRightInd w:val="0"/>
        <w:snapToGrid w:val="0"/>
        <w:spacing w:line="360" w:lineRule="auto"/>
        <w:ind w:right="0" w:rightChars="0" w:firstLine="552" w:firstLineChars="200"/>
        <w:textAlignment w:val="baseline"/>
        <w:rPr>
          <w:rFonts w:hint="eastAsia" w:ascii="宋体" w:hAnsi="宋体" w:eastAsia="宋体" w:cs="宋体"/>
          <w:spacing w:val="-2"/>
          <w:sz w:val="28"/>
          <w:szCs w:val="28"/>
        </w:rPr>
      </w:pPr>
      <w:r>
        <w:rPr>
          <w:rFonts w:hint="eastAsia" w:ascii="宋体" w:hAnsi="宋体" w:eastAsia="宋体" w:cs="宋体"/>
          <w:spacing w:val="-2"/>
          <w:sz w:val="28"/>
          <w:szCs w:val="28"/>
        </w:rPr>
        <w:t>根据本项目特点，确定维保期限</w:t>
      </w:r>
      <w:r>
        <w:rPr>
          <w:rFonts w:hint="eastAsia" w:ascii="宋体" w:hAnsi="宋体" w:eastAsia="宋体" w:cs="宋体"/>
          <w:spacing w:val="-2"/>
          <w:sz w:val="28"/>
          <w:szCs w:val="28"/>
          <w:lang w:val="en-US" w:eastAsia="zh-CN"/>
        </w:rPr>
        <w:t>为</w:t>
      </w:r>
      <w:r>
        <w:rPr>
          <w:rFonts w:hint="eastAsia" w:ascii="宋体" w:hAnsi="宋体" w:eastAsia="宋体" w:cs="宋体"/>
          <w:spacing w:val="-2"/>
          <w:sz w:val="28"/>
          <w:szCs w:val="28"/>
        </w:rPr>
        <w:t>1年（合同签订之日至次年当日）。</w:t>
      </w:r>
    </w:p>
    <w:p w14:paraId="324A931A">
      <w:pPr>
        <w:pStyle w:val="2"/>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left="0" w:leftChars="0" w:right="0" w:rightChars="0" w:firstLine="554" w:firstLineChars="200"/>
        <w:textAlignment w:val="baseline"/>
        <w:rPr>
          <w:rFonts w:hint="eastAsia" w:ascii="宋体" w:hAnsi="宋体" w:eastAsia="宋体" w:cs="宋体"/>
          <w:b/>
          <w:bCs/>
          <w:spacing w:val="-2"/>
          <w:sz w:val="28"/>
          <w:szCs w:val="28"/>
        </w:rPr>
      </w:pPr>
      <w:r>
        <w:rPr>
          <w:rFonts w:hint="eastAsia" w:ascii="宋体" w:hAnsi="宋体" w:eastAsia="宋体" w:cs="宋体"/>
          <w:b/>
          <w:bCs/>
          <w:snapToGrid w:val="0"/>
          <w:color w:val="000000"/>
          <w:spacing w:val="-2"/>
          <w:kern w:val="0"/>
          <w:sz w:val="28"/>
          <w:szCs w:val="28"/>
          <w:lang w:val="en-US" w:eastAsia="en-US" w:bidi="ar-SA"/>
        </w:rPr>
        <w:t>（三）</w:t>
      </w:r>
      <w:r>
        <w:rPr>
          <w:rFonts w:hint="eastAsia" w:ascii="宋体" w:hAnsi="宋体" w:eastAsia="宋体" w:cs="宋体"/>
          <w:b/>
          <w:bCs/>
          <w:spacing w:val="-2"/>
          <w:sz w:val="28"/>
          <w:szCs w:val="28"/>
        </w:rPr>
        <w:t>维护要求</w:t>
      </w:r>
    </w:p>
    <w:p w14:paraId="6EFCE91B">
      <w:pPr>
        <w:pStyle w:val="2"/>
        <w:keepNext w:val="0"/>
        <w:keepLines w:val="0"/>
        <w:pageBreakBefore w:val="0"/>
        <w:widowControl w:val="0"/>
        <w:numPr>
          <w:ilvl w:val="0"/>
          <w:numId w:val="0"/>
        </w:numPr>
        <w:kinsoku w:val="0"/>
        <w:wordWrap/>
        <w:overflowPunct w:val="0"/>
        <w:topLinePunct w:val="0"/>
        <w:autoSpaceDE w:val="0"/>
        <w:autoSpaceDN w:val="0"/>
        <w:bidi w:val="0"/>
        <w:adjustRightInd w:val="0"/>
        <w:snapToGrid w:val="0"/>
        <w:spacing w:line="360" w:lineRule="auto"/>
        <w:ind w:left="0" w:leftChars="0" w:right="0" w:rightChars="0" w:firstLine="552" w:firstLineChars="200"/>
        <w:textAlignment w:val="baseline"/>
        <w:rPr>
          <w:rFonts w:hint="eastAsia" w:ascii="宋体" w:hAnsi="宋体" w:eastAsia="宋体" w:cs="宋体"/>
          <w:spacing w:val="-2"/>
          <w:sz w:val="28"/>
          <w:szCs w:val="28"/>
        </w:rPr>
      </w:pPr>
      <w:r>
        <w:rPr>
          <w:rFonts w:hint="eastAsia" w:ascii="宋体" w:hAnsi="宋体" w:eastAsia="宋体" w:cs="宋体"/>
          <w:spacing w:val="-2"/>
          <w:sz w:val="28"/>
          <w:szCs w:val="28"/>
        </w:rPr>
        <w:t>机房网络设备：设备加电运行、看护、除尘，运行日志填写，设备运行状况观察、接口测试；检查数据流量、系统利用率等参6 数；设定访问控制列表，配置文件的备份，零部件更换、故障处 理修复等。</w:t>
      </w:r>
    </w:p>
    <w:p w14:paraId="47ED80FD">
      <w:pPr>
        <w:pStyle w:val="2"/>
        <w:keepNext w:val="0"/>
        <w:keepLines w:val="0"/>
        <w:pageBreakBefore w:val="0"/>
        <w:widowControl w:val="0"/>
        <w:numPr>
          <w:ilvl w:val="0"/>
          <w:numId w:val="0"/>
        </w:numPr>
        <w:kinsoku w:val="0"/>
        <w:wordWrap/>
        <w:overflowPunct w:val="0"/>
        <w:topLinePunct w:val="0"/>
        <w:autoSpaceDE w:val="0"/>
        <w:autoSpaceDN w:val="0"/>
        <w:bidi w:val="0"/>
        <w:adjustRightInd w:val="0"/>
        <w:snapToGrid w:val="0"/>
        <w:spacing w:line="360" w:lineRule="auto"/>
        <w:ind w:left="0" w:leftChars="0" w:right="0" w:rightChars="0" w:firstLine="560" w:firstLineChars="200"/>
        <w:textAlignment w:val="baseline"/>
        <w:rPr>
          <w:rFonts w:hint="eastAsia" w:ascii="宋体" w:hAnsi="宋体" w:eastAsia="宋体" w:cs="宋体"/>
          <w:b w:val="0"/>
          <w:bCs w:val="0"/>
          <w:color w:val="000000"/>
          <w:sz w:val="28"/>
          <w:szCs w:val="28"/>
        </w:rPr>
      </w:pPr>
      <w:r>
        <w:rPr>
          <w:rFonts w:hint="eastAsia" w:ascii="宋体" w:hAnsi="宋体" w:eastAsia="宋体" w:cs="宋体"/>
          <w:b w:val="0"/>
          <w:bCs w:val="0"/>
          <w:color w:val="000000"/>
          <w:sz w:val="28"/>
          <w:szCs w:val="28"/>
        </w:rPr>
        <w:t>运行维护计算机：清洁、检查、 测试、 维修，解决各种硬件故障，定期备份，保障系统稳定、可靠运行。</w:t>
      </w:r>
    </w:p>
    <w:p w14:paraId="48A30582">
      <w:pPr>
        <w:pStyle w:val="2"/>
        <w:keepNext w:val="0"/>
        <w:keepLines w:val="0"/>
        <w:pageBreakBefore w:val="0"/>
        <w:widowControl w:val="0"/>
        <w:numPr>
          <w:ilvl w:val="0"/>
          <w:numId w:val="0"/>
        </w:numPr>
        <w:kinsoku w:val="0"/>
        <w:wordWrap/>
        <w:overflowPunct w:val="0"/>
        <w:topLinePunct w:val="0"/>
        <w:autoSpaceDE w:val="0"/>
        <w:autoSpaceDN w:val="0"/>
        <w:bidi w:val="0"/>
        <w:adjustRightInd w:val="0"/>
        <w:snapToGrid w:val="0"/>
        <w:spacing w:line="360" w:lineRule="auto"/>
        <w:ind w:left="0" w:leftChars="0" w:right="0" w:rightChars="0" w:firstLine="560" w:firstLineChars="200"/>
        <w:textAlignment w:val="baseline"/>
        <w:rPr>
          <w:rFonts w:hint="eastAsia" w:ascii="宋体" w:hAnsi="宋体" w:eastAsia="宋体" w:cs="宋体"/>
          <w:b w:val="0"/>
          <w:bCs w:val="0"/>
          <w:color w:val="000000"/>
          <w:sz w:val="28"/>
          <w:szCs w:val="28"/>
        </w:rPr>
      </w:pPr>
      <w:r>
        <w:rPr>
          <w:rFonts w:hint="eastAsia" w:ascii="宋体" w:hAnsi="宋体" w:eastAsia="宋体" w:cs="宋体"/>
          <w:b w:val="0"/>
          <w:bCs w:val="0"/>
          <w:color w:val="000000"/>
          <w:sz w:val="28"/>
          <w:szCs w:val="28"/>
        </w:rPr>
        <w:t>视频会议系统：设备日常检测，运行日志填写；设备年检、常规维护，零部件、维护材料消耗；设备日常清洁，防静电除尘；控制软件检查、修复、升级，保持软件的稳定性。</w:t>
      </w:r>
    </w:p>
    <w:p w14:paraId="12E1DA0F">
      <w:pPr>
        <w:pStyle w:val="2"/>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left="0" w:leftChars="0" w:right="0" w:rightChars="0" w:firstLine="560" w:firstLineChars="200"/>
        <w:textAlignment w:val="baseline"/>
        <w:rPr>
          <w:rFonts w:hint="eastAsia" w:ascii="宋体" w:hAnsi="宋体" w:eastAsia="宋体" w:cs="宋体"/>
          <w:b w:val="0"/>
          <w:bCs w:val="0"/>
          <w:color w:val="000000"/>
          <w:sz w:val="28"/>
          <w:szCs w:val="28"/>
        </w:rPr>
      </w:pPr>
      <w:r>
        <w:rPr>
          <w:rFonts w:hint="eastAsia" w:ascii="宋体" w:hAnsi="宋体" w:eastAsia="宋体" w:cs="宋体"/>
          <w:b w:val="0"/>
          <w:bCs w:val="0"/>
          <w:color w:val="000000"/>
          <w:sz w:val="28"/>
          <w:szCs w:val="28"/>
        </w:rPr>
        <w:t>音频设备：设备日常检测，运行日志填写；设备年检、常规维护，零部件、维护材料消耗；设备日常清洁，防静电除尘。</w:t>
      </w:r>
    </w:p>
    <w:p w14:paraId="67BC4C91">
      <w:pPr>
        <w:pStyle w:val="2"/>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left="0" w:leftChars="0" w:right="0" w:rightChars="0" w:firstLine="560" w:firstLineChars="200"/>
        <w:textAlignment w:val="baseline"/>
        <w:rPr>
          <w:rFonts w:hint="eastAsia" w:ascii="宋体" w:hAnsi="宋体" w:eastAsia="宋体" w:cs="宋体"/>
          <w:b w:val="0"/>
          <w:bCs w:val="0"/>
          <w:color w:val="000000"/>
          <w:sz w:val="28"/>
          <w:szCs w:val="28"/>
        </w:rPr>
      </w:pPr>
      <w:r>
        <w:rPr>
          <w:rFonts w:hint="eastAsia" w:ascii="宋体" w:hAnsi="宋体" w:eastAsia="宋体" w:cs="宋体"/>
          <w:b w:val="0"/>
          <w:bCs w:val="0"/>
          <w:color w:val="000000"/>
          <w:sz w:val="28"/>
          <w:szCs w:val="28"/>
        </w:rPr>
        <w:t>无线预警广播：设备加电运行、看护、除尘，运行日志填写，设备运行状况观察、接口测试；零部件更换、故障处理修复等。</w:t>
      </w:r>
    </w:p>
    <w:p w14:paraId="1B2AFCF0">
      <w:pPr>
        <w:pStyle w:val="2"/>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left="0" w:leftChars="0" w:right="0" w:rightChars="0" w:firstLine="560" w:firstLineChars="200"/>
        <w:textAlignment w:val="baseline"/>
        <w:rPr>
          <w:rFonts w:hint="eastAsia" w:ascii="宋体" w:hAnsi="宋体" w:eastAsia="宋体" w:cs="宋体"/>
          <w:b w:val="0"/>
          <w:bCs w:val="0"/>
          <w:color w:val="000000"/>
          <w:sz w:val="28"/>
          <w:szCs w:val="28"/>
        </w:rPr>
      </w:pPr>
      <w:r>
        <w:rPr>
          <w:rFonts w:hint="eastAsia" w:ascii="宋体" w:hAnsi="宋体" w:eastAsia="宋体" w:cs="宋体"/>
          <w:b w:val="0"/>
          <w:bCs w:val="0"/>
          <w:color w:val="000000"/>
          <w:sz w:val="28"/>
          <w:szCs w:val="28"/>
        </w:rPr>
        <w:t>简易雨量站：设备加电运行、看护、除尘，设备运行状况观 察、接口测试；软硬件安装、测试、设置，软硬件升级；零部件更换、故障处理修复等。</w:t>
      </w:r>
    </w:p>
    <w:p w14:paraId="05BE0E84">
      <w:pPr>
        <w:pStyle w:val="2"/>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left="0" w:leftChars="0" w:right="0" w:rightChars="0" w:firstLine="560" w:firstLineChars="200"/>
        <w:textAlignment w:val="baseline"/>
        <w:rPr>
          <w:rFonts w:hint="eastAsia" w:ascii="宋体" w:hAnsi="宋体" w:eastAsia="宋体" w:cs="宋体"/>
          <w:b w:val="0"/>
          <w:bCs w:val="0"/>
          <w:color w:val="000000"/>
          <w:sz w:val="28"/>
          <w:szCs w:val="28"/>
        </w:rPr>
      </w:pPr>
      <w:r>
        <w:rPr>
          <w:rFonts w:hint="eastAsia" w:ascii="宋体" w:hAnsi="宋体" w:eastAsia="宋体" w:cs="宋体"/>
          <w:b w:val="0"/>
          <w:bCs w:val="0"/>
          <w:color w:val="000000"/>
          <w:sz w:val="28"/>
          <w:szCs w:val="28"/>
        </w:rPr>
        <w:t>视频监视站：设备加电运行、看护、除尘，设备运行状况观察、接口测试；硬件安装、测试、设置，硬件升级，光纤电路的连接测试及维护；支架等零部件更换、故障处理修复等。</w:t>
      </w:r>
    </w:p>
    <w:p w14:paraId="32BC87CF">
      <w:pPr>
        <w:pStyle w:val="2"/>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left="0" w:leftChars="0" w:right="0" w:rightChars="0" w:firstLine="560" w:firstLineChars="200"/>
        <w:textAlignment w:val="baseline"/>
        <w:rPr>
          <w:rFonts w:hint="eastAsia" w:ascii="宋体" w:hAnsi="宋体" w:eastAsia="宋体" w:cs="宋体"/>
          <w:b w:val="0"/>
          <w:bCs w:val="0"/>
          <w:color w:val="000000"/>
          <w:sz w:val="28"/>
          <w:szCs w:val="28"/>
        </w:rPr>
      </w:pPr>
      <w:r>
        <w:rPr>
          <w:rFonts w:hint="eastAsia" w:ascii="宋体" w:hAnsi="宋体" w:eastAsia="宋体" w:cs="宋体"/>
          <w:b w:val="0"/>
          <w:bCs w:val="0"/>
          <w:color w:val="000000"/>
          <w:sz w:val="28"/>
          <w:szCs w:val="28"/>
        </w:rPr>
        <w:t xml:space="preserve">维护要求，确保设备在线率不低于90%，汛期故障响应时间不超过 30 分钟，一般故障处理时间不超过 2 小时，重大故障不超过1天，若遇特殊天气无法到达现场时间顺延。 </w:t>
      </w:r>
    </w:p>
    <w:p w14:paraId="24503F82">
      <w:pPr>
        <w:pStyle w:val="2"/>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left="0" w:leftChars="0" w:right="0" w:rightChars="0" w:firstLine="560" w:firstLineChars="200"/>
        <w:textAlignment w:val="baseline"/>
        <w:rPr>
          <w:rFonts w:hint="eastAsia" w:ascii="宋体" w:hAnsi="宋体" w:eastAsia="宋体" w:cs="宋体"/>
          <w:spacing w:val="-2"/>
          <w:sz w:val="28"/>
          <w:szCs w:val="28"/>
        </w:rPr>
      </w:pPr>
      <w:r>
        <w:rPr>
          <w:rFonts w:hint="eastAsia" w:ascii="宋体" w:hAnsi="宋体" w:eastAsia="宋体" w:cs="宋体"/>
          <w:b w:val="0"/>
          <w:bCs w:val="0"/>
          <w:color w:val="000000"/>
          <w:sz w:val="28"/>
          <w:szCs w:val="28"/>
        </w:rPr>
        <w:t>其他设备维护要求按照《山洪灾害防治非工程措施运行维护指南》执行。</w:t>
      </w:r>
    </w:p>
    <w:p w14:paraId="4241380A">
      <w:pPr>
        <w:pStyle w:val="2"/>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left="0" w:leftChars="0" w:right="0" w:rightChars="0" w:firstLine="561" w:firstLineChars="0"/>
        <w:textAlignment w:val="baseline"/>
        <w:rPr>
          <w:rFonts w:hint="eastAsia" w:ascii="宋体" w:hAnsi="宋体" w:eastAsia="宋体" w:cs="宋体"/>
          <w:b/>
          <w:bCs/>
          <w:color w:val="000000"/>
          <w:sz w:val="28"/>
          <w:szCs w:val="28"/>
        </w:rPr>
      </w:pPr>
      <w:r>
        <w:rPr>
          <w:rFonts w:hint="eastAsia" w:ascii="宋体" w:hAnsi="宋体" w:eastAsia="宋体" w:cs="宋体"/>
          <w:b/>
          <w:bCs/>
          <w:snapToGrid w:val="0"/>
          <w:color w:val="000000"/>
          <w:kern w:val="0"/>
          <w:sz w:val="28"/>
          <w:szCs w:val="28"/>
          <w:lang w:val="en-US" w:eastAsia="en-US" w:bidi="ar-SA"/>
        </w:rPr>
        <w:t>三、</w:t>
      </w:r>
      <w:r>
        <w:rPr>
          <w:rFonts w:hint="eastAsia" w:ascii="宋体" w:hAnsi="宋体" w:eastAsia="宋体" w:cs="宋体"/>
          <w:b/>
          <w:bCs/>
          <w:color w:val="000000"/>
          <w:sz w:val="28"/>
          <w:szCs w:val="28"/>
        </w:rPr>
        <w:t>技术要求（如有，一般适合于技术服务项目）</w:t>
      </w:r>
    </w:p>
    <w:p w14:paraId="31BA8627">
      <w:pPr>
        <w:pStyle w:val="2"/>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left="0" w:leftChars="0" w:right="0" w:rightChars="0" w:firstLine="560" w:firstLineChars="200"/>
        <w:textAlignment w:val="baseline"/>
        <w:rPr>
          <w:rFonts w:hint="eastAsia" w:ascii="宋体" w:hAnsi="宋体" w:eastAsia="宋体" w:cs="宋体"/>
          <w:b/>
          <w:bCs/>
          <w:color w:val="000000"/>
          <w:sz w:val="28"/>
          <w:szCs w:val="28"/>
        </w:rPr>
      </w:pPr>
      <w:r>
        <w:rPr>
          <w:rFonts w:hint="eastAsia" w:ascii="宋体" w:hAnsi="宋体" w:eastAsia="宋体" w:cs="宋体"/>
          <w:b w:val="0"/>
          <w:bCs w:val="0"/>
          <w:color w:val="000000"/>
          <w:sz w:val="28"/>
          <w:szCs w:val="28"/>
        </w:rPr>
        <w:t>供应商提供的服务应符合国家、地方、行业相关合格标准及采购人要 求，</w:t>
      </w:r>
      <w:r>
        <w:rPr>
          <w:rFonts w:hint="eastAsia" w:cs="宋体"/>
          <w:b w:val="0"/>
          <w:bCs w:val="0"/>
          <w:color w:val="000000"/>
          <w:sz w:val="28"/>
          <w:szCs w:val="28"/>
          <w:lang w:val="en-US" w:eastAsia="zh-CN"/>
        </w:rPr>
        <w:t>服务应</w:t>
      </w:r>
      <w:r>
        <w:rPr>
          <w:rFonts w:hint="eastAsia" w:ascii="宋体" w:hAnsi="宋体" w:eastAsia="宋体" w:cs="宋体"/>
          <w:b w:val="0"/>
          <w:bCs w:val="0"/>
          <w:color w:val="000000"/>
          <w:sz w:val="28"/>
          <w:szCs w:val="28"/>
        </w:rPr>
        <w:t>符合《</w:t>
      </w:r>
      <w:r>
        <w:rPr>
          <w:rFonts w:hint="eastAsia"/>
          <w:spacing w:val="-2"/>
        </w:rPr>
        <w:t>蓝田县2026年中央水利发展资金山洪灾害防治非工程措施维修养护项目</w:t>
      </w:r>
      <w:r>
        <w:rPr>
          <w:rFonts w:hint="eastAsia" w:cs="宋体"/>
          <w:b w:val="0"/>
          <w:bCs w:val="0"/>
          <w:color w:val="000000"/>
          <w:sz w:val="28"/>
          <w:szCs w:val="28"/>
          <w:lang w:val="en-US" w:eastAsia="zh-CN"/>
        </w:rPr>
        <w:t>实施方案</w:t>
      </w:r>
      <w:r>
        <w:rPr>
          <w:rFonts w:hint="eastAsia" w:ascii="宋体" w:hAnsi="宋体" w:eastAsia="宋体" w:cs="宋体"/>
          <w:b w:val="0"/>
          <w:bCs w:val="0"/>
          <w:color w:val="000000"/>
          <w:sz w:val="28"/>
          <w:szCs w:val="28"/>
        </w:rPr>
        <w:t>》要求。</w:t>
      </w:r>
    </w:p>
    <w:p w14:paraId="58EA6E3D">
      <w:pPr>
        <w:pStyle w:val="2"/>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rightChars="0" w:firstLine="561"/>
        <w:textAlignment w:val="baseline"/>
        <w:rPr>
          <w:rFonts w:hint="eastAsia"/>
          <w:spacing w:val="-2"/>
        </w:rPr>
      </w:pPr>
      <w:r>
        <w:rPr>
          <w:rFonts w:hint="eastAsia" w:ascii="宋体" w:hAnsi="宋体" w:eastAsia="宋体" w:cs="宋体"/>
          <w:b/>
          <w:bCs/>
          <w:color w:val="000000"/>
          <w:sz w:val="28"/>
          <w:szCs w:val="28"/>
          <w:lang w:val="en-US" w:eastAsia="zh-CN"/>
        </w:rPr>
        <w:t>四</w:t>
      </w:r>
      <w:r>
        <w:rPr>
          <w:rFonts w:hint="eastAsia" w:ascii="宋体" w:hAnsi="宋体" w:eastAsia="宋体" w:cs="宋体"/>
          <w:b/>
          <w:bCs/>
          <w:color w:val="000000"/>
          <w:sz w:val="28"/>
          <w:szCs w:val="28"/>
        </w:rPr>
        <w:t>、服务要求（如对人员配置、专业设备、服务标准等）</w:t>
      </w:r>
    </w:p>
    <w:p w14:paraId="44C83E41">
      <w:pPr>
        <w:pStyle w:val="2"/>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rightChars="0" w:firstLine="560" w:firstLineChars="200"/>
        <w:textAlignment w:val="baseline"/>
        <w:rPr>
          <w:rFonts w:hint="eastAsia" w:ascii="宋体" w:hAnsi="宋体" w:eastAsia="宋体" w:cs="宋体"/>
          <w:b/>
          <w:bCs/>
          <w:color w:val="auto"/>
          <w:sz w:val="28"/>
          <w:szCs w:val="28"/>
        </w:rPr>
      </w:pPr>
      <w:r>
        <w:rPr>
          <w:rFonts w:hint="eastAsia" w:cs="宋体"/>
          <w:b w:val="0"/>
          <w:bCs w:val="0"/>
          <w:color w:val="auto"/>
          <w:sz w:val="28"/>
          <w:szCs w:val="28"/>
          <w:lang w:val="en-US" w:eastAsia="zh-CN"/>
        </w:rPr>
        <w:t>1、</w:t>
      </w:r>
      <w:r>
        <w:rPr>
          <w:rFonts w:hint="eastAsia" w:ascii="宋体" w:hAnsi="宋体" w:eastAsia="宋体" w:cs="宋体"/>
          <w:b/>
          <w:bCs/>
          <w:color w:val="auto"/>
          <w:sz w:val="28"/>
          <w:szCs w:val="28"/>
        </w:rPr>
        <w:t>人员配置</w:t>
      </w:r>
    </w:p>
    <w:p w14:paraId="40F9EF07">
      <w:pPr>
        <w:pStyle w:val="2"/>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rightChars="0" w:firstLine="560" w:firstLineChars="200"/>
        <w:textAlignment w:val="baseline"/>
        <w:rPr>
          <w:rFonts w:hint="eastAsia" w:ascii="宋体" w:hAnsi="宋体" w:eastAsia="宋体" w:cs="宋体"/>
          <w:b w:val="0"/>
          <w:bCs w:val="0"/>
          <w:color w:val="000000"/>
          <w:sz w:val="28"/>
          <w:szCs w:val="28"/>
        </w:rPr>
      </w:pPr>
      <w:r>
        <w:rPr>
          <w:rFonts w:hint="eastAsia" w:ascii="宋体" w:hAnsi="宋体" w:eastAsia="宋体" w:cs="宋体"/>
          <w:b w:val="0"/>
          <w:bCs w:val="0"/>
          <w:color w:val="000000"/>
          <w:sz w:val="28"/>
          <w:szCs w:val="28"/>
        </w:rPr>
        <w:t>供应商需配备能力和人数满足本项目工作内容的服务团队，</w:t>
      </w:r>
      <w:r>
        <w:rPr>
          <w:rFonts w:hint="eastAsia" w:cs="宋体"/>
          <w:b w:val="0"/>
          <w:bCs w:val="0"/>
          <w:color w:val="000000"/>
          <w:sz w:val="28"/>
          <w:szCs w:val="28"/>
          <w:lang w:val="en-US" w:eastAsia="zh-CN"/>
        </w:rPr>
        <w:t>同时</w:t>
      </w:r>
      <w:r>
        <w:rPr>
          <w:rFonts w:hint="eastAsia" w:ascii="宋体" w:hAnsi="宋体" w:eastAsia="宋体" w:cs="宋体"/>
          <w:b w:val="0"/>
          <w:bCs w:val="0"/>
          <w:color w:val="000000"/>
          <w:sz w:val="28"/>
          <w:szCs w:val="28"/>
        </w:rPr>
        <w:t>需根据采购人工作需要临时聘请相关专家和技术人员提供专业指导和技术服务。</w:t>
      </w:r>
    </w:p>
    <w:p w14:paraId="3AD6CE34">
      <w:pPr>
        <w:pStyle w:val="2"/>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rightChars="0" w:firstLine="560" w:firstLineChars="200"/>
        <w:textAlignment w:val="baseline"/>
        <w:rPr>
          <w:rFonts w:hint="default" w:ascii="宋体" w:hAnsi="宋体" w:eastAsia="宋体" w:cs="宋体"/>
          <w:b w:val="0"/>
          <w:bCs w:val="0"/>
          <w:color w:val="000000"/>
          <w:sz w:val="28"/>
          <w:szCs w:val="28"/>
          <w:lang w:val="en-US" w:eastAsia="zh-CN"/>
        </w:rPr>
      </w:pPr>
      <w:r>
        <w:rPr>
          <w:rFonts w:hint="eastAsia" w:cs="宋体"/>
          <w:b w:val="0"/>
          <w:bCs w:val="0"/>
          <w:color w:val="000000"/>
          <w:sz w:val="28"/>
          <w:szCs w:val="28"/>
          <w:lang w:val="en-US" w:eastAsia="zh-CN"/>
        </w:rPr>
        <w:t>2、</w:t>
      </w:r>
      <w:r>
        <w:rPr>
          <w:rFonts w:hint="eastAsia" w:ascii="宋体" w:hAnsi="宋体" w:eastAsia="宋体" w:cs="宋体"/>
          <w:b/>
          <w:bCs/>
          <w:color w:val="000000"/>
          <w:sz w:val="28"/>
          <w:szCs w:val="28"/>
        </w:rPr>
        <w:t>专业设备</w:t>
      </w:r>
    </w:p>
    <w:p w14:paraId="62056042">
      <w:pPr>
        <w:keepNext w:val="0"/>
        <w:keepLines w:val="0"/>
        <w:pageBreakBefore w:val="0"/>
        <w:widowControl/>
        <w:suppressLineNumbers w:val="0"/>
        <w:kinsoku w:val="0"/>
        <w:wordWrap/>
        <w:overflowPunct/>
        <w:topLinePunct w:val="0"/>
        <w:autoSpaceDE w:val="0"/>
        <w:autoSpaceDN w:val="0"/>
        <w:bidi w:val="0"/>
        <w:adjustRightInd w:val="0"/>
        <w:snapToGrid w:val="0"/>
        <w:spacing w:line="360" w:lineRule="auto"/>
        <w:ind w:firstLine="560" w:firstLineChars="200"/>
        <w:jc w:val="left"/>
        <w:textAlignment w:val="baseline"/>
        <w:rPr>
          <w:rFonts w:hint="eastAsia" w:ascii="宋体" w:hAnsi="宋体" w:eastAsia="宋体" w:cs="宋体"/>
          <w:b w:val="0"/>
          <w:bCs w:val="0"/>
          <w:snapToGrid w:val="0"/>
          <w:color w:val="000000"/>
          <w:kern w:val="0"/>
          <w:sz w:val="28"/>
          <w:szCs w:val="28"/>
          <w:lang w:val="en-US" w:eastAsia="en-US" w:bidi="ar-SA"/>
        </w:rPr>
      </w:pPr>
      <w:r>
        <w:rPr>
          <w:rFonts w:hint="eastAsia" w:ascii="宋体" w:hAnsi="宋体" w:eastAsia="宋体" w:cs="宋体"/>
          <w:b w:val="0"/>
          <w:bCs w:val="0"/>
          <w:snapToGrid w:val="0"/>
          <w:color w:val="000000"/>
          <w:kern w:val="0"/>
          <w:sz w:val="28"/>
          <w:szCs w:val="28"/>
          <w:lang w:val="en-US" w:eastAsia="en-US" w:bidi="ar-SA"/>
        </w:rPr>
        <w:t>供应商</w:t>
      </w:r>
      <w:r>
        <w:rPr>
          <w:rFonts w:hint="eastAsia" w:ascii="宋体" w:hAnsi="宋体" w:eastAsia="宋体" w:cs="宋体"/>
          <w:b w:val="0"/>
          <w:bCs w:val="0"/>
          <w:snapToGrid w:val="0"/>
          <w:color w:val="000000"/>
          <w:kern w:val="0"/>
          <w:sz w:val="28"/>
          <w:szCs w:val="28"/>
          <w:lang w:val="en-US" w:eastAsia="zh-CN" w:bidi="ar-SA"/>
        </w:rPr>
        <w:t>须自备全套专业运维工具、检测设备及足量备品备件，满足辖区所有工程设施日常检修、故障维修、校准调试需求，不得因设备、备件缺失延误运维工作。</w:t>
      </w:r>
    </w:p>
    <w:p w14:paraId="698CA6E4">
      <w:pPr>
        <w:pStyle w:val="2"/>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rightChars="0" w:firstLine="560" w:firstLineChars="200"/>
        <w:textAlignment w:val="baseline"/>
        <w:rPr>
          <w:rFonts w:hint="eastAsia" w:cs="宋体"/>
          <w:b w:val="0"/>
          <w:bCs w:val="0"/>
          <w:color w:val="000000"/>
          <w:sz w:val="28"/>
          <w:szCs w:val="28"/>
          <w:lang w:val="en-US" w:eastAsia="zh-CN"/>
        </w:rPr>
      </w:pPr>
      <w:r>
        <w:rPr>
          <w:rFonts w:hint="eastAsia" w:cs="宋体"/>
          <w:b w:val="0"/>
          <w:bCs w:val="0"/>
          <w:color w:val="000000"/>
          <w:sz w:val="28"/>
          <w:szCs w:val="28"/>
          <w:lang w:val="en-US" w:eastAsia="zh-CN"/>
        </w:rPr>
        <w:t>3、</w:t>
      </w:r>
      <w:r>
        <w:rPr>
          <w:rFonts w:hint="eastAsia" w:ascii="宋体" w:hAnsi="宋体" w:eastAsia="宋体" w:cs="宋体"/>
          <w:b/>
          <w:bCs/>
          <w:color w:val="000000"/>
          <w:sz w:val="28"/>
          <w:szCs w:val="28"/>
        </w:rPr>
        <w:t>服务标准</w:t>
      </w:r>
    </w:p>
    <w:p w14:paraId="18E6DC55">
      <w:pPr>
        <w:pStyle w:val="2"/>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rightChars="0" w:firstLine="560" w:firstLineChars="200"/>
        <w:textAlignment w:val="baseline"/>
        <w:rPr>
          <w:rFonts w:hint="eastAsia" w:ascii="宋体" w:hAnsi="宋体" w:eastAsia="宋体" w:cs="宋体"/>
          <w:b w:val="0"/>
          <w:bCs w:val="0"/>
          <w:color w:val="000000"/>
          <w:sz w:val="28"/>
          <w:szCs w:val="28"/>
        </w:rPr>
      </w:pPr>
      <w:r>
        <w:rPr>
          <w:rFonts w:hint="eastAsia" w:cs="宋体"/>
          <w:b w:val="0"/>
          <w:bCs w:val="0"/>
          <w:snapToGrid w:val="0"/>
          <w:color w:val="000000"/>
          <w:kern w:val="0"/>
          <w:sz w:val="28"/>
          <w:szCs w:val="28"/>
          <w:lang w:val="en-US" w:eastAsia="zh-CN" w:bidi="ar-SA"/>
        </w:rPr>
        <w:t>《蓝田县2026年中央水利发展资金山洪灾害非工程措施维修养护项目实施方案》。</w:t>
      </w:r>
    </w:p>
    <w:p w14:paraId="6E326AE6">
      <w:pPr>
        <w:pStyle w:val="2"/>
        <w:keepNext w:val="0"/>
        <w:keepLines w:val="0"/>
        <w:pageBreakBefore w:val="0"/>
        <w:widowControl w:val="0"/>
        <w:numPr>
          <w:ilvl w:val="0"/>
          <w:numId w:val="0"/>
        </w:numPr>
        <w:kinsoku w:val="0"/>
        <w:wordWrap/>
        <w:overflowPunct w:val="0"/>
        <w:topLinePunct w:val="0"/>
        <w:autoSpaceDE w:val="0"/>
        <w:autoSpaceDN w:val="0"/>
        <w:bidi w:val="0"/>
        <w:adjustRightInd w:val="0"/>
        <w:snapToGrid w:val="0"/>
        <w:spacing w:line="360" w:lineRule="auto"/>
        <w:ind w:left="0" w:leftChars="0" w:right="0" w:rightChars="0" w:firstLine="562" w:firstLineChars="200"/>
        <w:textAlignment w:val="baseline"/>
        <w:rPr>
          <w:rFonts w:hint="eastAsia" w:ascii="宋体" w:hAnsi="宋体" w:eastAsia="宋体" w:cs="宋体"/>
          <w:b/>
          <w:bCs/>
          <w:color w:val="000000"/>
          <w:sz w:val="28"/>
          <w:szCs w:val="28"/>
        </w:rPr>
      </w:pPr>
      <w:r>
        <w:rPr>
          <w:rFonts w:hint="eastAsia" w:ascii="宋体" w:hAnsi="宋体" w:eastAsia="宋体" w:cs="宋体"/>
          <w:b/>
          <w:bCs/>
          <w:snapToGrid w:val="0"/>
          <w:color w:val="000000"/>
          <w:kern w:val="0"/>
          <w:sz w:val="28"/>
          <w:szCs w:val="28"/>
          <w:lang w:val="en-US" w:eastAsia="en-US" w:bidi="ar-SA"/>
        </w:rPr>
        <w:t>五、</w:t>
      </w:r>
      <w:r>
        <w:rPr>
          <w:rFonts w:hint="eastAsia" w:ascii="宋体" w:hAnsi="宋体" w:eastAsia="宋体" w:cs="宋体"/>
          <w:b/>
          <w:bCs/>
          <w:color w:val="000000"/>
          <w:sz w:val="28"/>
          <w:szCs w:val="28"/>
        </w:rPr>
        <w:t>商务要求（如服务期限、款项结算等）</w:t>
      </w:r>
    </w:p>
    <w:p w14:paraId="05D7969F">
      <w:pPr>
        <w:pStyle w:val="2"/>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left="0" w:leftChars="0" w:firstLine="562" w:firstLineChars="200"/>
        <w:textAlignment w:val="baseline"/>
        <w:rPr>
          <w:rFonts w:hint="eastAsia" w:ascii="宋体" w:hAnsi="宋体" w:eastAsia="宋体" w:cs="宋体"/>
          <w:b/>
          <w:bCs/>
          <w:snapToGrid w:val="0"/>
          <w:color w:val="000000"/>
          <w:kern w:val="0"/>
          <w:sz w:val="28"/>
          <w:szCs w:val="28"/>
          <w:lang w:val="en-US" w:eastAsia="en-US" w:bidi="ar-SA"/>
        </w:rPr>
      </w:pPr>
      <w:r>
        <w:rPr>
          <w:rFonts w:hint="eastAsia" w:ascii="宋体" w:hAnsi="宋体" w:eastAsia="宋体" w:cs="宋体"/>
          <w:b/>
          <w:bCs/>
          <w:snapToGrid w:val="0"/>
          <w:color w:val="000000"/>
          <w:kern w:val="0"/>
          <w:sz w:val="28"/>
          <w:szCs w:val="28"/>
          <w:lang w:val="en-US" w:eastAsia="en-US" w:bidi="ar-SA"/>
        </w:rPr>
        <w:t>（一）维保期限</w:t>
      </w:r>
    </w:p>
    <w:p w14:paraId="107DD5E9">
      <w:pPr>
        <w:pStyle w:val="2"/>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left="0" w:leftChars="0" w:firstLine="560" w:firstLineChars="200"/>
        <w:textAlignment w:val="baseline"/>
        <w:rPr>
          <w:rFonts w:hint="eastAsia" w:ascii="宋体" w:hAnsi="宋体" w:eastAsia="宋体" w:cs="宋体"/>
          <w:b w:val="0"/>
          <w:bCs w:val="0"/>
          <w:color w:val="000000"/>
          <w:sz w:val="28"/>
          <w:szCs w:val="28"/>
        </w:rPr>
      </w:pPr>
      <w:r>
        <w:rPr>
          <w:rFonts w:hint="eastAsia" w:ascii="宋体" w:hAnsi="宋体" w:eastAsia="宋体" w:cs="宋体"/>
          <w:b w:val="0"/>
          <w:bCs w:val="0"/>
          <w:color w:val="000000"/>
          <w:sz w:val="28"/>
          <w:szCs w:val="28"/>
        </w:rPr>
        <w:t>根据本项目特点，确定本项目</w:t>
      </w:r>
      <w:r>
        <w:rPr>
          <w:rFonts w:hint="eastAsia" w:cs="宋体"/>
          <w:b w:val="0"/>
          <w:bCs w:val="0"/>
          <w:color w:val="000000"/>
          <w:sz w:val="28"/>
          <w:szCs w:val="28"/>
          <w:lang w:val="en-US" w:eastAsia="zh-CN"/>
        </w:rPr>
        <w:t>维护期限</w:t>
      </w:r>
      <w:r>
        <w:rPr>
          <w:rFonts w:hint="eastAsia" w:ascii="宋体" w:hAnsi="宋体" w:eastAsia="宋体" w:cs="宋体"/>
          <w:b w:val="0"/>
          <w:bCs w:val="0"/>
          <w:color w:val="000000"/>
          <w:sz w:val="28"/>
          <w:szCs w:val="28"/>
        </w:rPr>
        <w:t>为 1 年（合同签订之日至次年当日）。</w:t>
      </w:r>
    </w:p>
    <w:p w14:paraId="7A659559">
      <w:pPr>
        <w:pStyle w:val="2"/>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left="0" w:leftChars="0" w:firstLine="562" w:firstLineChars="200"/>
        <w:textAlignment w:val="baseline"/>
        <w:rPr>
          <w:rFonts w:hint="eastAsia" w:ascii="宋体" w:hAnsi="宋体" w:eastAsia="宋体" w:cs="宋体"/>
          <w:b/>
          <w:bCs/>
          <w:color w:val="000000"/>
          <w:sz w:val="28"/>
          <w:szCs w:val="28"/>
        </w:rPr>
      </w:pPr>
      <w:r>
        <w:rPr>
          <w:rFonts w:hint="eastAsia" w:ascii="宋体" w:hAnsi="宋体" w:eastAsia="宋体" w:cs="宋体"/>
          <w:b/>
          <w:bCs/>
          <w:snapToGrid w:val="0"/>
          <w:color w:val="000000"/>
          <w:kern w:val="0"/>
          <w:sz w:val="28"/>
          <w:szCs w:val="28"/>
          <w:lang w:val="en-US" w:eastAsia="en-US" w:bidi="ar-SA"/>
        </w:rPr>
        <w:t>（二）</w:t>
      </w:r>
      <w:r>
        <w:rPr>
          <w:rFonts w:hint="eastAsia" w:ascii="宋体" w:hAnsi="宋体" w:eastAsia="宋体" w:cs="宋体"/>
          <w:b/>
          <w:bCs/>
          <w:color w:val="000000"/>
          <w:sz w:val="28"/>
          <w:szCs w:val="28"/>
        </w:rPr>
        <w:t>款项结算</w:t>
      </w:r>
    </w:p>
    <w:p w14:paraId="76EBFB8D">
      <w:pPr>
        <w:pStyle w:val="2"/>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left="0" w:leftChars="0" w:firstLine="560" w:firstLineChars="200"/>
        <w:textAlignment w:val="baseline"/>
        <w:rPr>
          <w:rFonts w:hint="eastAsia" w:ascii="宋体" w:hAnsi="宋体" w:eastAsia="宋体" w:cs="宋体"/>
          <w:b w:val="0"/>
          <w:bCs w:val="0"/>
          <w:color w:val="000000"/>
          <w:sz w:val="28"/>
          <w:szCs w:val="28"/>
        </w:rPr>
      </w:pPr>
      <w:r>
        <w:rPr>
          <w:rFonts w:hint="eastAsia" w:ascii="宋体" w:hAnsi="宋体" w:eastAsia="宋体" w:cs="宋体"/>
          <w:b w:val="0"/>
          <w:bCs w:val="0"/>
          <w:color w:val="000000"/>
          <w:sz w:val="28"/>
          <w:szCs w:val="28"/>
        </w:rPr>
        <w:t xml:space="preserve">1、合同签订后支付合同总价的 40%预付款。 </w:t>
      </w:r>
    </w:p>
    <w:p w14:paraId="51613D99">
      <w:pPr>
        <w:pStyle w:val="2"/>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left="0" w:leftChars="0" w:firstLine="560" w:firstLineChars="200"/>
        <w:textAlignment w:val="baseline"/>
        <w:rPr>
          <w:rFonts w:hint="eastAsia" w:ascii="宋体" w:hAnsi="宋体" w:eastAsia="宋体" w:cs="宋体"/>
          <w:b w:val="0"/>
          <w:bCs w:val="0"/>
          <w:color w:val="000000"/>
          <w:sz w:val="28"/>
          <w:szCs w:val="28"/>
        </w:rPr>
      </w:pPr>
      <w:r>
        <w:rPr>
          <w:rFonts w:hint="eastAsia" w:ascii="宋体" w:hAnsi="宋体" w:eastAsia="宋体" w:cs="宋体"/>
          <w:b w:val="0"/>
          <w:bCs w:val="0"/>
          <w:color w:val="000000"/>
          <w:sz w:val="28"/>
          <w:szCs w:val="28"/>
        </w:rPr>
        <w:t>2、项目实施中期，完成过半</w:t>
      </w:r>
      <w:r>
        <w:rPr>
          <w:rFonts w:hint="eastAsia" w:ascii="宋体" w:hAnsi="宋体" w:eastAsia="宋体" w:cs="宋体"/>
          <w:b w:val="0"/>
          <w:bCs w:val="0"/>
          <w:color w:val="000000"/>
          <w:sz w:val="28"/>
          <w:szCs w:val="28"/>
          <w:lang w:val="en-US" w:eastAsia="zh-CN"/>
        </w:rPr>
        <w:t>维护</w:t>
      </w:r>
      <w:r>
        <w:rPr>
          <w:rFonts w:hint="eastAsia" w:ascii="宋体" w:hAnsi="宋体" w:eastAsia="宋体" w:cs="宋体"/>
          <w:b w:val="0"/>
          <w:bCs w:val="0"/>
          <w:color w:val="000000"/>
          <w:sz w:val="28"/>
          <w:szCs w:val="28"/>
        </w:rPr>
        <w:t>任务并经</w:t>
      </w:r>
      <w:r>
        <w:rPr>
          <w:rFonts w:hint="eastAsia" w:ascii="宋体" w:hAnsi="宋体" w:eastAsia="宋体" w:cs="宋体"/>
          <w:b w:val="0"/>
          <w:bCs w:val="0"/>
          <w:color w:val="000000"/>
          <w:sz w:val="28"/>
          <w:szCs w:val="28"/>
          <w:lang w:val="en-US" w:eastAsia="zh-CN"/>
        </w:rPr>
        <w:t>采购人</w:t>
      </w:r>
      <w:r>
        <w:rPr>
          <w:rFonts w:hint="eastAsia" w:ascii="宋体" w:hAnsi="宋体" w:eastAsia="宋体" w:cs="宋体"/>
          <w:b w:val="0"/>
          <w:bCs w:val="0"/>
          <w:color w:val="000000"/>
          <w:sz w:val="28"/>
          <w:szCs w:val="28"/>
        </w:rPr>
        <w:t>现场</w:t>
      </w:r>
      <w:r>
        <w:rPr>
          <w:rFonts w:hint="eastAsia" w:cs="宋体"/>
          <w:b w:val="0"/>
          <w:bCs w:val="0"/>
          <w:color w:val="000000"/>
          <w:sz w:val="28"/>
          <w:szCs w:val="28"/>
          <w:lang w:val="en-US" w:eastAsia="zh-CN"/>
        </w:rPr>
        <w:t>验收</w:t>
      </w:r>
      <w:r>
        <w:rPr>
          <w:rFonts w:hint="eastAsia" w:ascii="宋体" w:hAnsi="宋体" w:eastAsia="宋体" w:cs="宋体"/>
          <w:b w:val="0"/>
          <w:bCs w:val="0"/>
          <w:color w:val="000000"/>
          <w:sz w:val="28"/>
          <w:szCs w:val="28"/>
        </w:rPr>
        <w:t>后，</w:t>
      </w:r>
      <w:r>
        <w:rPr>
          <w:rFonts w:hint="eastAsia" w:ascii="宋体" w:hAnsi="宋体" w:eastAsia="宋体" w:cs="宋体"/>
          <w:b w:val="0"/>
          <w:bCs w:val="0"/>
          <w:color w:val="000000"/>
          <w:sz w:val="28"/>
          <w:szCs w:val="28"/>
          <w:lang w:val="en-US" w:eastAsia="zh-CN"/>
        </w:rPr>
        <w:t>支付</w:t>
      </w:r>
      <w:r>
        <w:rPr>
          <w:rFonts w:hint="eastAsia" w:ascii="宋体" w:hAnsi="宋体" w:eastAsia="宋体" w:cs="宋体"/>
          <w:b w:val="0"/>
          <w:bCs w:val="0"/>
          <w:color w:val="000000"/>
          <w:sz w:val="28"/>
          <w:szCs w:val="28"/>
        </w:rPr>
        <w:t>合同总价</w:t>
      </w:r>
      <w:r>
        <w:rPr>
          <w:rFonts w:hint="eastAsia" w:ascii="宋体" w:hAnsi="宋体" w:eastAsia="宋体" w:cs="宋体"/>
          <w:b w:val="0"/>
          <w:bCs w:val="0"/>
          <w:color w:val="000000"/>
          <w:sz w:val="28"/>
          <w:szCs w:val="28"/>
          <w:lang w:val="en-US" w:eastAsia="zh-CN"/>
        </w:rPr>
        <w:t>的</w:t>
      </w:r>
      <w:r>
        <w:rPr>
          <w:rFonts w:hint="eastAsia" w:ascii="宋体" w:hAnsi="宋体" w:eastAsia="宋体" w:cs="宋体"/>
          <w:b w:val="0"/>
          <w:bCs w:val="0"/>
          <w:color w:val="000000"/>
          <w:sz w:val="28"/>
          <w:szCs w:val="28"/>
        </w:rPr>
        <w:t xml:space="preserve"> </w:t>
      </w:r>
      <w:r>
        <w:rPr>
          <w:rFonts w:hint="eastAsia" w:ascii="宋体" w:hAnsi="宋体" w:eastAsia="宋体" w:cs="宋体"/>
          <w:b w:val="0"/>
          <w:bCs w:val="0"/>
          <w:color w:val="000000"/>
          <w:sz w:val="28"/>
          <w:szCs w:val="28"/>
          <w:lang w:val="en-US" w:eastAsia="zh-CN"/>
        </w:rPr>
        <w:t>35</w:t>
      </w:r>
      <w:r>
        <w:rPr>
          <w:rFonts w:hint="eastAsia" w:ascii="宋体" w:hAnsi="宋体" w:eastAsia="宋体" w:cs="宋体"/>
          <w:b w:val="0"/>
          <w:bCs w:val="0"/>
          <w:color w:val="000000"/>
          <w:sz w:val="28"/>
          <w:szCs w:val="28"/>
        </w:rPr>
        <w:t>%；</w:t>
      </w:r>
    </w:p>
    <w:p w14:paraId="2076BEA2">
      <w:pPr>
        <w:pStyle w:val="2"/>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left="0" w:leftChars="0" w:firstLine="560" w:firstLineChars="200"/>
        <w:textAlignment w:val="baseline"/>
        <w:rPr>
          <w:rFonts w:hint="eastAsia" w:ascii="宋体" w:hAnsi="宋体" w:eastAsia="宋体" w:cs="宋体"/>
          <w:b w:val="0"/>
          <w:bCs w:val="0"/>
          <w:color w:val="000000"/>
          <w:sz w:val="28"/>
          <w:szCs w:val="28"/>
        </w:rPr>
      </w:pPr>
      <w:r>
        <w:rPr>
          <w:rFonts w:hint="eastAsia" w:ascii="宋体" w:hAnsi="宋体" w:eastAsia="宋体" w:cs="宋体"/>
          <w:b w:val="0"/>
          <w:bCs w:val="0"/>
          <w:color w:val="000000"/>
          <w:sz w:val="28"/>
          <w:szCs w:val="28"/>
          <w:lang w:val="en-US" w:eastAsia="zh-CN"/>
        </w:rPr>
        <w:t>3、</w:t>
      </w:r>
      <w:r>
        <w:rPr>
          <w:rFonts w:hint="eastAsia" w:ascii="宋体" w:hAnsi="宋体" w:eastAsia="宋体" w:cs="宋体"/>
          <w:b w:val="0"/>
          <w:bCs w:val="0"/>
          <w:color w:val="000000"/>
          <w:sz w:val="28"/>
          <w:szCs w:val="28"/>
        </w:rPr>
        <w:t>全部服务内容完成验收合格后，支付</w:t>
      </w:r>
      <w:r>
        <w:rPr>
          <w:rFonts w:hint="eastAsia" w:ascii="宋体" w:hAnsi="宋体" w:eastAsia="宋体" w:cs="宋体"/>
          <w:b w:val="0"/>
          <w:bCs w:val="0"/>
          <w:color w:val="000000"/>
          <w:sz w:val="28"/>
          <w:szCs w:val="28"/>
          <w:lang w:val="en-US" w:eastAsia="zh-CN"/>
        </w:rPr>
        <w:t>至</w:t>
      </w:r>
      <w:r>
        <w:rPr>
          <w:rFonts w:hint="eastAsia" w:ascii="宋体" w:hAnsi="宋体" w:eastAsia="宋体" w:cs="宋体"/>
          <w:b w:val="0"/>
          <w:bCs w:val="0"/>
          <w:color w:val="000000"/>
          <w:sz w:val="28"/>
          <w:szCs w:val="28"/>
        </w:rPr>
        <w:t xml:space="preserve">合同总金额的100.00%。 </w:t>
      </w:r>
    </w:p>
    <w:p w14:paraId="0BAC4F23">
      <w:pPr>
        <w:pStyle w:val="2"/>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left="0" w:leftChars="0" w:firstLine="560" w:firstLineChars="200"/>
        <w:textAlignment w:val="baseline"/>
        <w:rPr>
          <w:rFonts w:hint="eastAsia" w:ascii="宋体" w:hAnsi="宋体" w:eastAsia="宋体" w:cs="宋体"/>
          <w:b w:val="0"/>
          <w:bCs w:val="0"/>
          <w:color w:val="000000"/>
          <w:sz w:val="28"/>
          <w:szCs w:val="28"/>
        </w:rPr>
      </w:pPr>
      <w:r>
        <w:rPr>
          <w:rFonts w:hint="eastAsia" w:ascii="宋体" w:hAnsi="宋体" w:eastAsia="宋体" w:cs="宋体"/>
          <w:b w:val="0"/>
          <w:bCs w:val="0"/>
          <w:color w:val="000000"/>
          <w:sz w:val="28"/>
          <w:szCs w:val="28"/>
        </w:rPr>
        <w:t>注：供应商每次申请付款前，须向采购人出具合法有效的增值税发票。</w:t>
      </w:r>
    </w:p>
    <w:p w14:paraId="46592009">
      <w:pPr>
        <w:pStyle w:val="2"/>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left="0" w:leftChars="0" w:firstLine="560" w:firstLineChars="200"/>
        <w:textAlignment w:val="baseline"/>
        <w:rPr>
          <w:rFonts w:hint="eastAsia" w:ascii="宋体" w:hAnsi="宋体" w:eastAsia="宋体" w:cs="宋体"/>
          <w:b/>
          <w:bCs/>
          <w:color w:val="000000"/>
          <w:sz w:val="28"/>
          <w:szCs w:val="28"/>
        </w:rPr>
      </w:pPr>
      <w:r>
        <w:rPr>
          <w:rFonts w:hint="eastAsia" w:ascii="宋体" w:hAnsi="宋体" w:eastAsia="宋体" w:cs="宋体"/>
          <w:b w:val="0"/>
          <w:bCs w:val="0"/>
          <w:color w:val="000000"/>
          <w:sz w:val="28"/>
          <w:szCs w:val="28"/>
        </w:rPr>
        <w:t>六、</w:t>
      </w:r>
      <w:r>
        <w:rPr>
          <w:rFonts w:hint="eastAsia" w:ascii="宋体" w:hAnsi="宋体" w:eastAsia="宋体" w:cs="宋体"/>
          <w:b/>
          <w:bCs/>
          <w:color w:val="000000"/>
          <w:sz w:val="28"/>
          <w:szCs w:val="28"/>
        </w:rPr>
        <w:t xml:space="preserve">其他 </w:t>
      </w:r>
    </w:p>
    <w:p w14:paraId="76C31511">
      <w:pPr>
        <w:pStyle w:val="2"/>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left="0" w:leftChars="0" w:firstLine="560" w:firstLineChars="200"/>
        <w:textAlignment w:val="baseline"/>
        <w:rPr>
          <w:rFonts w:hint="eastAsia" w:ascii="宋体" w:hAnsi="宋体" w:eastAsia="宋体" w:cs="宋体"/>
          <w:b w:val="0"/>
          <w:bCs w:val="0"/>
          <w:color w:val="000000"/>
          <w:sz w:val="28"/>
          <w:szCs w:val="28"/>
        </w:rPr>
      </w:pPr>
      <w:r>
        <w:rPr>
          <w:rFonts w:hint="eastAsia" w:ascii="宋体" w:hAnsi="宋体" w:eastAsia="宋体" w:cs="宋体"/>
          <w:b w:val="0"/>
          <w:bCs w:val="0"/>
          <w:color w:val="000000"/>
          <w:sz w:val="28"/>
          <w:szCs w:val="28"/>
        </w:rPr>
        <w:t xml:space="preserve">（一）对供应商的业绩要求。 </w:t>
      </w:r>
    </w:p>
    <w:p w14:paraId="0E03928D">
      <w:pPr>
        <w:pStyle w:val="2"/>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left="0" w:leftChars="0" w:firstLine="560" w:firstLineChars="200"/>
        <w:textAlignment w:val="baseline"/>
        <w:rPr>
          <w:rFonts w:hint="eastAsia" w:cs="宋体"/>
          <w:b w:val="0"/>
          <w:bCs w:val="0"/>
          <w:color w:val="000000"/>
          <w:sz w:val="28"/>
          <w:szCs w:val="28"/>
          <w:lang w:eastAsia="zh-CN"/>
        </w:rPr>
      </w:pPr>
      <w:r>
        <w:rPr>
          <w:rFonts w:hint="eastAsia" w:ascii="宋体" w:hAnsi="宋体" w:eastAsia="宋体" w:cs="宋体"/>
          <w:b w:val="0"/>
          <w:bCs w:val="0"/>
          <w:color w:val="000000"/>
          <w:sz w:val="28"/>
          <w:szCs w:val="28"/>
        </w:rPr>
        <w:t>供应商近三年类似项目业绩</w:t>
      </w:r>
      <w:r>
        <w:rPr>
          <w:rFonts w:hint="eastAsia" w:cs="宋体"/>
          <w:b w:val="0"/>
          <w:bCs w:val="0"/>
          <w:color w:val="000000"/>
          <w:sz w:val="28"/>
          <w:szCs w:val="28"/>
          <w:lang w:eastAsia="zh-CN"/>
        </w:rPr>
        <w:t>。</w:t>
      </w:r>
    </w:p>
    <w:p w14:paraId="1148F00E">
      <w:pPr>
        <w:pStyle w:val="2"/>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left="0" w:leftChars="0" w:firstLine="560" w:firstLineChars="200"/>
        <w:textAlignment w:val="baseline"/>
        <w:rPr>
          <w:rFonts w:hint="eastAsia" w:ascii="宋体" w:hAnsi="宋体" w:eastAsia="宋体" w:cs="宋体"/>
          <w:b w:val="0"/>
          <w:bCs w:val="0"/>
          <w:color w:val="000000"/>
          <w:sz w:val="28"/>
          <w:szCs w:val="28"/>
        </w:rPr>
      </w:pPr>
      <w:r>
        <w:rPr>
          <w:rFonts w:hint="eastAsia" w:ascii="宋体" w:hAnsi="宋体" w:eastAsia="宋体" w:cs="宋体"/>
          <w:b w:val="0"/>
          <w:bCs w:val="0"/>
          <w:snapToGrid w:val="0"/>
          <w:color w:val="000000"/>
          <w:kern w:val="0"/>
          <w:sz w:val="28"/>
          <w:szCs w:val="28"/>
          <w:lang w:val="en-US" w:eastAsia="en-US" w:bidi="ar-SA"/>
        </w:rPr>
        <w:t>（</w:t>
      </w:r>
      <w:r>
        <w:rPr>
          <w:rFonts w:hint="eastAsia" w:cs="宋体"/>
          <w:b w:val="0"/>
          <w:bCs w:val="0"/>
          <w:snapToGrid w:val="0"/>
          <w:color w:val="000000"/>
          <w:kern w:val="0"/>
          <w:sz w:val="28"/>
          <w:szCs w:val="28"/>
          <w:lang w:val="en-US" w:eastAsia="zh-CN" w:bidi="ar-SA"/>
        </w:rPr>
        <w:t>二</w:t>
      </w:r>
      <w:r>
        <w:rPr>
          <w:rFonts w:hint="eastAsia" w:ascii="宋体" w:hAnsi="宋体" w:eastAsia="宋体" w:cs="宋体"/>
          <w:b w:val="0"/>
          <w:bCs w:val="0"/>
          <w:snapToGrid w:val="0"/>
          <w:color w:val="000000"/>
          <w:kern w:val="0"/>
          <w:sz w:val="28"/>
          <w:szCs w:val="28"/>
          <w:lang w:val="en-US" w:eastAsia="en-US" w:bidi="ar-SA"/>
        </w:rPr>
        <w:t>）</w:t>
      </w:r>
      <w:r>
        <w:rPr>
          <w:rFonts w:hint="eastAsia" w:ascii="宋体" w:hAnsi="宋体" w:eastAsia="宋体" w:cs="宋体"/>
          <w:b w:val="0"/>
          <w:bCs w:val="0"/>
          <w:color w:val="000000"/>
          <w:sz w:val="28"/>
          <w:szCs w:val="28"/>
        </w:rPr>
        <w:t>违约责任</w:t>
      </w:r>
    </w:p>
    <w:p w14:paraId="28D4FC53">
      <w:pPr>
        <w:pStyle w:val="2"/>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left="0" w:leftChars="0" w:firstLine="560" w:firstLineChars="200"/>
        <w:textAlignment w:val="baseline"/>
        <w:rPr>
          <w:rFonts w:hint="eastAsia" w:ascii="宋体" w:hAnsi="宋体" w:eastAsia="宋体" w:cs="宋体"/>
          <w:b w:val="0"/>
          <w:bCs w:val="0"/>
          <w:color w:val="000000"/>
          <w:sz w:val="28"/>
          <w:szCs w:val="28"/>
        </w:rPr>
      </w:pPr>
      <w:r>
        <w:rPr>
          <w:rFonts w:hint="eastAsia" w:ascii="宋体" w:hAnsi="宋体" w:eastAsia="宋体" w:cs="宋体"/>
          <w:b w:val="0"/>
          <w:bCs w:val="0"/>
          <w:color w:val="000000"/>
          <w:sz w:val="28"/>
          <w:szCs w:val="28"/>
        </w:rPr>
        <w:t>1、按《中华人民共和国民法典》中的相关条款执行；</w:t>
      </w:r>
    </w:p>
    <w:p w14:paraId="1E13F9D1">
      <w:pPr>
        <w:pStyle w:val="2"/>
        <w:keepNext w:val="0"/>
        <w:keepLines w:val="0"/>
        <w:pageBreakBefore w:val="0"/>
        <w:widowControl w:val="0"/>
        <w:numPr>
          <w:ilvl w:val="0"/>
          <w:numId w:val="0"/>
        </w:numPr>
        <w:kinsoku w:val="0"/>
        <w:wordWrap/>
        <w:overflowPunct w:val="0"/>
        <w:topLinePunct w:val="0"/>
        <w:autoSpaceDE w:val="0"/>
        <w:autoSpaceDN w:val="0"/>
        <w:bidi w:val="0"/>
        <w:adjustRightInd w:val="0"/>
        <w:snapToGrid w:val="0"/>
        <w:spacing w:line="360" w:lineRule="auto"/>
        <w:ind w:left="0" w:leftChars="0" w:firstLine="560" w:firstLineChars="200"/>
        <w:textAlignment w:val="baseline"/>
        <w:rPr>
          <w:rFonts w:hint="eastAsia" w:ascii="宋体" w:hAnsi="宋体" w:eastAsia="宋体" w:cs="宋体"/>
          <w:b w:val="0"/>
          <w:bCs w:val="0"/>
          <w:color w:val="000000"/>
          <w:sz w:val="28"/>
          <w:szCs w:val="28"/>
        </w:rPr>
      </w:pPr>
      <w:r>
        <w:rPr>
          <w:rFonts w:hint="eastAsia" w:ascii="宋体" w:hAnsi="宋体" w:eastAsia="宋体" w:cs="宋体"/>
          <w:b w:val="0"/>
          <w:bCs w:val="0"/>
          <w:color w:val="000000"/>
          <w:sz w:val="28"/>
          <w:szCs w:val="28"/>
        </w:rPr>
        <w:t>2、在合同实施过程中，若乙方未按合同要求提供服务或服务质量不能满足合同要求，甲方应当将乙方违约的情况以及拟采取的措施以书面形式报政府采购监管部门，根据政府采购监管部门的处理意见，甲方有权依据《中华人民共和国民法典》有关条款及合同约定终止合同，并要求乙方承担违约责任。同时，政府采购监管部门有权依据《中华人民共和国政府采购法》及相关法律法规对乙方的违法行为进行相应的处罚。</w:t>
      </w:r>
    </w:p>
    <w:p w14:paraId="641F0E88">
      <w:pPr>
        <w:pStyle w:val="2"/>
        <w:keepNext w:val="0"/>
        <w:keepLines w:val="0"/>
        <w:pageBreakBefore w:val="0"/>
        <w:widowControl w:val="0"/>
        <w:numPr>
          <w:ilvl w:val="0"/>
          <w:numId w:val="0"/>
        </w:numPr>
        <w:kinsoku w:val="0"/>
        <w:wordWrap/>
        <w:overflowPunct w:val="0"/>
        <w:topLinePunct w:val="0"/>
        <w:autoSpaceDE w:val="0"/>
        <w:autoSpaceDN w:val="0"/>
        <w:bidi w:val="0"/>
        <w:adjustRightInd w:val="0"/>
        <w:snapToGrid w:val="0"/>
        <w:spacing w:line="360" w:lineRule="auto"/>
        <w:ind w:left="0" w:leftChars="0" w:firstLine="560" w:firstLineChars="200"/>
        <w:textAlignment w:val="baseline"/>
        <w:rPr>
          <w:rFonts w:hint="eastAsia" w:ascii="宋体" w:hAnsi="宋体" w:eastAsia="宋体" w:cs="宋体"/>
          <w:b/>
          <w:bCs/>
          <w:color w:val="000000"/>
          <w:sz w:val="28"/>
          <w:szCs w:val="28"/>
          <w:lang w:val="en-US" w:eastAsia="zh-CN"/>
        </w:rPr>
      </w:pPr>
      <w:r>
        <w:rPr>
          <w:rFonts w:hint="eastAsia" w:ascii="宋体" w:hAnsi="宋体" w:eastAsia="宋体" w:cs="宋体"/>
          <w:b w:val="0"/>
          <w:bCs w:val="0"/>
          <w:color w:val="000000"/>
          <w:sz w:val="28"/>
          <w:szCs w:val="28"/>
        </w:rPr>
        <w:t>3、任何一方因不可抗力原因不能履行协议时，应尽快通知对方，双方均设法补偿。如仍无法履约协议，可协商延缓或撤销协议，双方责任免除。</w:t>
      </w:r>
    </w:p>
    <w:sectPr>
      <w:pgSz w:w="11906" w:h="16839"/>
      <w:pgMar w:top="1402" w:right="1438" w:bottom="1417" w:left="1428" w:header="0" w:footer="0"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isplayBackgroundShape w:val="1"/>
  <w:bordersDoNotSurroundHeader w:val="0"/>
  <w:bordersDoNotSurroundFooter w:val="0"/>
  <w:documentProtection w:enforcement="0"/>
  <w:displayHorizontalDrawingGridEvery w:val="1"/>
  <w:displayVerticalDrawingGridEvery w:val="1"/>
  <w:noPunctuationKerning w:val="1"/>
  <w:characterSpacingControl w:val="doNotCompress"/>
  <w:footnotePr>
    <w:footnote w:id="0"/>
    <w:footnote w:id="1"/>
  </w:footnotePr>
  <w:endnotePr>
    <w:endnote w:id="0"/>
    <w:endnote w:id="1"/>
  </w:endnotePr>
  <w:compat>
    <w:spaceForUL/>
    <w:ulTrailSpace/>
    <w:doNotExpandShiftReturn/>
    <w:doNotWrapTextWithPunct/>
    <w:doNotUseEastAsianBreakRules/>
    <w:useFELayout/>
    <w:compatSetting w:name="compatibilityMode" w:uri="http://schemas.microsoft.com/office/word" w:val="14"/>
  </w:compat>
  <w:rsids>
    <w:rsidRoot w:val="00000000"/>
    <w:rsid w:val="02DE0C4D"/>
    <w:rsid w:val="0341645D"/>
    <w:rsid w:val="04B10234"/>
    <w:rsid w:val="058F1702"/>
    <w:rsid w:val="06846114"/>
    <w:rsid w:val="0A285707"/>
    <w:rsid w:val="0FF87C54"/>
    <w:rsid w:val="194B72E6"/>
    <w:rsid w:val="1B294F72"/>
    <w:rsid w:val="20D02EA3"/>
    <w:rsid w:val="27A961FC"/>
    <w:rsid w:val="327218CD"/>
    <w:rsid w:val="36966197"/>
    <w:rsid w:val="5220252F"/>
    <w:rsid w:val="532B7FE6"/>
    <w:rsid w:val="54653B18"/>
    <w:rsid w:val="58B90230"/>
    <w:rsid w:val="6A325601"/>
    <w:rsid w:val="6BF15950"/>
    <w:rsid w:val="74DA0D6F"/>
    <w:rsid w:val="77837878"/>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Body Text"/>
    <w:basedOn w:val="1"/>
    <w:semiHidden/>
    <w:qFormat/>
    <w:uiPriority w:val="0"/>
    <w:rPr>
      <w:rFonts w:ascii="宋体" w:hAnsi="宋体" w:eastAsia="宋体" w:cs="宋体"/>
      <w:sz w:val="28"/>
      <w:szCs w:val="28"/>
      <w:lang w:val="en-US" w:eastAsia="en-US" w:bidi="ar-SA"/>
    </w:rPr>
  </w:style>
  <w:style w:type="character" w:styleId="5">
    <w:name w:val="Strong"/>
    <w:basedOn w:val="4"/>
    <w:qFormat/>
    <w:uiPriority w:val="0"/>
    <w:rPr>
      <w:b/>
    </w:rPr>
  </w:style>
  <w:style w:type="table" w:customStyle="1" w:styleId="6">
    <w:name w:val="Table Normal"/>
    <w:semiHidden/>
    <w:unhideWhenUsed/>
    <w:qFormat/>
    <w:uiPriority w:val="0"/>
    <w:tblPr>
      <w:tblCellMar>
        <w:top w:w="0" w:type="dxa"/>
        <w:left w:w="0" w:type="dxa"/>
        <w:bottom w:w="0" w:type="dxa"/>
        <w:right w:w="0" w:type="dxa"/>
      </w:tblCellMar>
    </w:tblPr>
  </w:style>
  <w:style w:type="paragraph" w:customStyle="1" w:styleId="7">
    <w:name w:val="Table Text"/>
    <w:basedOn w:val="1"/>
    <w:semiHidden/>
    <w:qFormat/>
    <w:uiPriority w:val="0"/>
    <w:rPr>
      <w:rFonts w:ascii="宋体" w:hAnsi="宋体" w:eastAsia="宋体" w:cs="宋体"/>
      <w:sz w:val="28"/>
      <w:szCs w:val="28"/>
      <w:lang w:val="en-US" w:eastAsia="en-US"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reviewItem>
      <errorID>443dbce8-7179-48e4-8dde-21ea6e7536dc</errorID>
      <errorWord>(</errorWord>
      <group>L1_Format</group>
      <groupName>格式问题</groupName>
      <ability>L2_HalfPunc_CN</ability>
      <abilityName/>
      <candidateList>
        <item>（</item>
      </candidateList>
      <explain>文本全半角错误。</explain>
      <paraID>2560673B</paraID>
      <start>22</start>
      <end>23</end>
      <status>unmodified</status>
      <modifiedWord/>
      <trackRevisions>false</trackRevisions>
    </reviewItem>
    <reviewItem>
      <errorID>3c2ced41-9f3d-4a1a-b9cd-9e900c5d598b</errorID>
      <errorWord>［2020］</errorWord>
      <group>L1_Punc</group>
      <groupName>标点问题</groupName>
      <ability>L2_Punc_CN</ability>
      <abilityName/>
      <candidateList>
        <item>〔2020〕</item>
      </candidateList>
      <explain/>
      <paraID>2560673B</paraID>
      <start>25</start>
      <end>59</end>
      <status>unmodified</status>
      <modifiedWord/>
      <trackRevisions>false</trackRevisions>
    </reviewItem>
    <reviewItem>
      <errorID>9e59a7b5-f548-49c2-8dac-c44749269fb3</errorID>
      <errorWord>(</errorWord>
      <group>L1_Format</group>
      <groupName>格式问题</groupName>
      <ability>L2_HalfPunc_CN</ability>
      <abilityName/>
      <candidateList>
        <item>（</item>
      </candidateList>
      <explain>文本全半角错误。</explain>
      <paraID>2560673B</paraID>
      <start>72</start>
      <end>73</end>
      <status>unmodified</status>
      <modifiedWord/>
      <trackRevisions>false</trackRevisions>
    </reviewItem>
    <reviewItem>
      <errorID>6a728092-f215-4121-8315-37a6471eec64</errorID>
      <errorWord>)</errorWord>
      <group>L1_Format</group>
      <groupName>格式问题</groupName>
      <ability>L2_HalfPunc_CN</ability>
      <abilityName/>
      <candidateList>
        <item>）</item>
      </candidateList>
      <explain>文本全半角错误。</explain>
      <paraID>2560673B</paraID>
      <start>86</start>
      <end>87</end>
      <status>unmodified</status>
      <modifiedWord/>
      <trackRevisions>false</trackRevisions>
    </reviewItem>
    <reviewItem>
      <errorID>9291a02e-e0ea-42ae-907d-d1dcacdf62da</errorID>
      <errorWord>3%-5%</errorWord>
      <group>L1_Knowledge</group>
      <groupName>知识性问题</groupName>
      <ability>L2_Knowledge</ability>
      <abilityName>其他知识</abilityName>
      <candidateList>
        <item>3%—5%</item>
      </candidateList>
      <explain>1. “3%-5%”中的单位“%”仅出现在后一个数字上，容易引起歧义；根据《现代汉语标点符号数字用法规范手册》，数字表示范围两边需要使用统一的格式。2. 根据标点国标 4.13 中的规则，数字、时间或地域连接符应使用（视觉上更长的）“—”或“～”。</explain>
      <paraID>2560673B</paraID>
      <start>96</start>
      <end>101</end>
      <status>unmodified</status>
      <modifiedWord/>
      <trackRevisions>false</trackRevisions>
    </reviewItem>
    <reviewItem>
      <errorID>69f8b093-9265-4239-b668-aede6c1c2874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23767309</paraID>
      <start>0</start>
      <end>2</end>
      <status>unmodified</status>
      <modifiedWord/>
      <trackRevisions>false</trackRevisions>
    </reviewItem>
    <reviewItem>
      <errorID>ff7adb39-8f5b-4f12-a1cd-49e3cac240fe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290C0266</paraID>
      <start>0</start>
      <end>3</end>
      <status>unmodified</status>
      <modifiedWord/>
      <trackRevisions>false</trackRevisions>
    </reviewItem>
    <reviewItem>
      <errorID>ef1e42f2-a378-430d-b40c-b789400a115e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643F3BFC</paraID>
      <start>0</start>
      <end>3</end>
      <status>unmodified</status>
      <modifiedWord/>
      <trackRevisions>false</trackRevisions>
    </reviewItem>
    <reviewItem>
      <errorID>e3b173cd-1b50-4671-97de-f32369022273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4C7AFBBC</paraID>
      <start>0</start>
      <end>3</end>
      <status>unmodified</status>
      <modifiedWord/>
      <trackRevisions>false</trackRevisions>
    </reviewItem>
    <reviewItem>
      <errorID>17a4edbe-2bb9-4056-820f-41bc40f5398c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230E1D2</paraID>
      <start>0</start>
      <end>3</end>
      <status>unmodified</status>
      <modifiedWord/>
      <trackRevisions>false</trackRevisions>
    </reviewItem>
    <reviewItem>
      <errorID>d3f64f7b-9b85-4133-baa0-6f1b7a2d3505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667E33E3</paraID>
      <start>0</start>
      <end>3</end>
      <status>unmodified</status>
      <modifiedWord/>
      <trackRevisions>false</trackRevisions>
    </reviewItem>
    <reviewItem>
      <errorID>89311a42-2e4e-4f80-9f3f-518320fd83ee</errorID>
      <errorWord>记录的</errorWord>
      <group>L1_Grammar</group>
      <groupName>语法问题</groupName>
      <ability>L2_Order</ability>
      <abilityName>语序不当</abilityName>
      <candidateList>
        <item>记录</item>
      </candidateList>
      <explain>句子可能没有遵循时空、逻辑顺序，或者介词、关联词等位置不当。</explain>
      <paraID>54EC0F9F</paraID>
      <start>3</start>
      <end>6</end>
      <status>unmodified</status>
      <modifiedWord/>
      <trackRevisions>false</trackRevisions>
    </reviewItem>
    <reviewItem>
      <errorID>d79e8340-b0dd-46ec-81cd-5230f24dd6b0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2CC74FC6</paraID>
      <start>0</start>
      <end>2</end>
      <status>unmodified</status>
      <modifiedWord/>
      <trackRevisions>false</trackRevisions>
    </reviewItem>
    <reviewItem>
      <errorID>955ceadb-065c-4941-a747-996973688819</errorID>
      <errorWord>的</errorWord>
      <group>L1_Grammar</group>
      <groupName>语法问题</groupName>
      <ability>L2_Missing</ability>
      <abilityName>成分残缺</abilityName>
      <candidateList>
        <item>某公司获得了的</item>
      </candidateList>
      <explain>句子中可能存在主谓宾、修饰语或者必要的词语残缺。</explain>
      <paraID>208F2174</paraID>
      <start>0</start>
      <end>1</end>
      <status>unmodified</status>
      <modifiedWord/>
      <trackRevisions>false</trackRevisions>
    </reviewItem>
    <reviewItem>
      <errorID>5d25f7d9-867b-4d74-b04f-7d092b618cd5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68471F47</paraID>
      <start>0</start>
      <end>3</end>
      <status>unmodified</status>
      <modifiedWord/>
      <trackRevisions>false</trackRevisions>
    </reviewItem>
    <reviewItem>
      <errorID>2b56d4e7-54fe-49c9-9a7d-7165b6e9de4b</errorID>
      <errorWord>(</errorWord>
      <group>L1_Format</group>
      <groupName>格式问题</groupName>
      <ability>L2_HalfPunc_CN</ability>
      <abilityName/>
      <candidateList>
        <item>（</item>
      </candidateList>
      <explain>文本全半角错误。</explain>
      <paraID>319DB706</paraID>
      <start>21</start>
      <end>22</end>
      <status>unmodified</status>
      <modifiedWord/>
      <trackRevisions>false</trackRevisions>
    </reviewItem>
    <reviewItem>
      <errorID>723e64d6-ff9c-452c-9e18-4ba746f1bb14</errorID>
      <errorWord>(</errorWord>
      <group>L1_Format</group>
      <groupName>格式问题</groupName>
      <ability>L2_HalfPunc_CN</ability>
      <abilityName/>
      <candidateList>
        <item>（</item>
      </candidateList>
      <explain>文本全半角错误。</explain>
      <paraID>319DB706</paraID>
      <start>25</start>
      <end>26</end>
      <status>unmodified</status>
      <modifiedWord/>
      <trackRevisions>false</trackRevisions>
    </reviewItem>
    <reviewItem>
      <errorID>a1ce3664-edb6-45cf-8cce-1945f44bb9aa</errorID>
      <errorWord>)</errorWord>
      <group>L1_Format</group>
      <groupName>格式问题</groupName>
      <ability>L2_HalfPunc_CN</ability>
      <abilityName/>
      <candidateList>
        <item>）</item>
      </candidateList>
      <explain>文本全半角错误。</explain>
      <paraID>319DB706</paraID>
      <start>35</start>
      <end>36</end>
      <status>unmodified</status>
      <modifiedWord/>
      <trackRevisions>false</trackRevisions>
    </reviewItem>
    <reviewItem>
      <errorID>2af7b69d-5e68-42cc-8327-77366596bb12</errorID>
      <errorWord>(</errorWord>
      <group>L1_Format</group>
      <groupName>格式问题</groupName>
      <ability>L2_HalfPunc_CN</ability>
      <abilityName/>
      <candidateList>
        <item>（</item>
      </candidateList>
      <explain>文本全半角错误。</explain>
      <paraID>1E84E6C9</paraID>
      <start>62</start>
      <end>63</end>
      <status>unmodified</status>
      <modifiedWord/>
      <trackRevisions>false</trackRevisions>
    </reviewItem>
    <reviewItem>
      <errorID>b3f96f51-9ea5-4857-9ed4-f0ddfc2a7d8d</errorID>
      <errorWord>1%-2%</errorWord>
      <group>L1_Knowledge</group>
      <groupName>知识性问题</groupName>
      <ability>L2_Knowledge</ability>
      <abilityName>其他知识</abilityName>
      <candidateList>
        <item>1%—2%</item>
      </candidateList>
      <explain>1. “1%-2%”中的单位“%”仅出现在后一个数字上，容易引起歧义；根据《现代汉语标点符号数字用法规范手册》，数字表示范围两边需要使用统一的格式。2. 根据标点国标 4.13 中的规则，数字、时间或地域连接符应使用（视觉上更长的）“—”或“～”。</explain>
      <paraID>1E84E6C9</paraID>
      <start>63</start>
      <end>68</end>
      <status>unmodified</status>
      <modifiedWord/>
      <trackRevisions>false</trackRevisions>
    </reviewItem>
    <reviewItem>
      <errorID>becb3879-2617-4cf2-b60e-bcc2b5ba0acc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7EB5E806</paraID>
      <start>0</start>
      <end>2</end>
      <status>unmodified</status>
      <modifiedWord/>
      <trackRevisions>false</trackRevisions>
    </reviewItem>
    <reviewItem>
      <errorID>f0efce21-4d36-46e3-823c-31d0a1a3a16e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3DEA258D</paraID>
      <start>0</start>
      <end>2</end>
      <status>unmodified</status>
      <modifiedWord/>
      <trackRevisions>false</trackRevisions>
    </reviewItem>
    <reviewItem>
      <errorID>ce00b7de-5be8-4b8f-b7d0-516bbdb33403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6B2C0B9F</paraID>
      <start>0</start>
      <end>2</end>
      <status>unmodified</status>
      <modifiedWord/>
      <trackRevisions>false</trackRevisions>
    </reviewItem>
    <reviewItem>
      <errorID>7beadc90-5728-4ec3-ab63-4758fc008ac0</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6B2C0B9F</paraID>
      <start>40</start>
      <end>43</end>
      <status>unmodified</status>
      <modifiedWord/>
      <trackRevisions>false</trackRevisions>
    </reviewItem>
    <reviewItem>
      <errorID>ca876c48-e773-454d-bc3e-bdd8ee5ccca2</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6B2C0B9F</paraID>
      <start>56</start>
      <end>59</end>
      <status>unmodified</status>
      <modifiedWord/>
      <trackRevisions>false</trackRevisions>
    </reviewItem>
    <reviewItem>
      <errorID>25f8c95b-555a-4acd-a046-4402aeec396b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7EE1AFF9</paraID>
      <start>0</start>
      <end>2</end>
      <status>unmodified</status>
      <modifiedWord/>
      <trackRevisions>false</trackRevisions>
    </reviewItem>
    <reviewItem>
      <errorID>4a5a5502-96d3-47e9-8418-d51097ec97c3</errorID>
      <errorWord>房</errorWord>
      <group>L1_Word</group>
      <groupName>字词问题</groupName>
      <ability>L2_Typo</ability>
      <abilityName>字词错误</abilityName>
      <candidateList>
        <item>房和</item>
      </candidateList>
      <explain/>
      <paraID>7EE1AFF9</paraID>
      <start>6</start>
      <end>7</end>
      <status>unmodified</status>
      <modifiedWord/>
      <trackRevisions>false</trackRevisions>
    </reviewItem>
    <reviewItem>
      <errorID>fb09155c-a9dd-4987-8b4b-22d7f4038bfb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3260E113</paraID>
      <start>0</start>
      <end>2</end>
      <status>unmodified</status>
      <modifiedWord/>
      <trackRevisions>false</trackRevisions>
    </reviewItem>
    <reviewItem>
      <errorID>11df10ce-58f2-414f-9252-cc0da41c7560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3CBC196F</paraID>
      <start>0</start>
      <end>2</end>
      <status>unmodified</status>
      <modifiedWord/>
      <trackRevisions>false</trackRevisions>
    </reviewItem>
    <reviewItem>
      <errorID>39843b27-a9b1-4004-a795-d59cf42ab53f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690EE679</paraID>
      <start>0</start>
      <end>2</end>
      <status>unmodified</status>
      <modifiedWord/>
      <trackRevisions>false</trackRevisions>
    </reviewItem>
    <reviewItem>
      <errorID>9832c679-799d-412b-b2ed-2d6bf31e9fac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4B4745E4</paraID>
      <start>0</start>
      <end>2</end>
      <status>unmodified</status>
      <modifiedWord/>
      <trackRevisions>false</trackRevisions>
    </reviewItem>
    <reviewItem>
      <errorID>e7f4c1cc-5538-4e13-9d97-c9136427eb9f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3522ED50</paraID>
      <start>0</start>
      <end>2</end>
      <status>unmodified</status>
      <modifiedWord/>
      <trackRevisions>false</trackRevisions>
    </reviewItem>
    <reviewItem>
      <errorID>d106dd8b-f0e2-4461-b4bc-682648d9c00a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3EDCA648</paraID>
      <start>0</start>
      <end>2</end>
      <status>unmodified</status>
      <modifiedWord/>
      <trackRevisions>false</trackRevisions>
    </reviewItem>
    <reviewItem>
      <errorID>908820b1-37f1-4196-b46a-8450c6b01f67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62949A3</paraID>
      <start>0</start>
      <end>2</end>
      <status>unmodified</status>
      <modifiedWord/>
      <trackRevisions>false</trackRevisions>
    </reviewItem>
    <reviewItem>
      <errorID>fd98c571-1d22-46da-8501-2a68e18ab0b9</errorID>
      <errorWord>(</errorWord>
      <group>L1_Format</group>
      <groupName>格式问题</groupName>
      <ability>L2_HalfPunc_CN</ability>
      <abilityName/>
      <candidateList>
        <item>（</item>
      </candidateList>
      <explain>文本全半角错误。</explain>
      <paraID>471C0F56</paraID>
      <start>0</start>
      <end>1</end>
      <status>unmodified</status>
      <modifiedWord/>
      <trackRevisions>false</trackRevisions>
    </reviewItem>
    <reviewItem>
      <errorID>740b32c3-709f-418e-8612-6ac11eff07dc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72602310</paraID>
      <start>0</start>
      <end>2</end>
      <status>unmodified</status>
      <modifiedWord/>
      <trackRevisions>false</trackRevisions>
    </reviewItem>
    <reviewItem>
      <errorID>45506e88-2335-416d-8b51-67cafde7e1f4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484A5DF6</paraID>
      <start>0</start>
      <end>2</end>
      <status>unmodified</status>
      <modifiedWord/>
      <trackRevisions>false</trackRevisions>
    </reviewItem>
    <reviewItem>
      <errorID>93091aa0-a6e4-40a4-9f12-14e980041aff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1760BC1B</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6b523733-0cd5-48bd-ad44-2b3ff04a8f00}">
  <ds:schemaRefs/>
</ds:datastoreItem>
</file>

<file path=docProps/app.xml><?xml version="1.0" encoding="utf-8"?>
<Properties xmlns="http://schemas.openxmlformats.org/officeDocument/2006/extended-properties" xmlns:vt="http://schemas.openxmlformats.org/officeDocument/2006/docPropsVTypes">
  <Pages>8</Pages>
  <Words>3280</Words>
  <Characters>3443</Characters>
  <TotalTime>133</TotalTime>
  <ScaleCrop>false</ScaleCrop>
  <LinksUpToDate>false</LinksUpToDate>
  <CharactersWithSpaces>3600</CharactersWithSpaces>
  <Application>WPS Office_12.1.0.28040_F1E327BC-269C-435d-A152-05C5408002CA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2026-05-12T10:37:00Z</dcterms:created>
  <dc:creator>Turn?_?</dc:creator>
  <cp:lastModifiedBy>└(^o^)┘~yao</cp:lastModifiedBy>
  <dcterms:modified xsi:type="dcterms:W3CDTF">2026-08-10T02:14:22Z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wqlLaW5nc29mdCBQREYgdG8gV1BTIDEyMA</vt:lpwstr>
  </property>
  <property fmtid="{D5CDD505-2E9C-101B-9397-08002B2CF9AE}" pid="3" name="Created">
    <vt:filetime>2026-05-27T08:36:34Z</vt:filetime>
  </property>
  <property fmtid="{D5CDD505-2E9C-101B-9397-08002B2CF9AE}" pid="4" name="KSOTemplateDocerSaveRecord">
    <vt:lpwstr>eyJoZGlkIjoiNjM4OGFiNTUzYTNjOWFlODNjZjZhYjgyOWNmMWY3MWIiLCJ1c2VySWQiOiIzMTQwNjI4MzMifQ==</vt:lpwstr>
  </property>
  <property fmtid="{D5CDD505-2E9C-101B-9397-08002B2CF9AE}" pid="5" name="KSOProductBuildVer">
    <vt:lpwstr>2052-12.1.0.28040</vt:lpwstr>
  </property>
  <property fmtid="{D5CDD505-2E9C-101B-9397-08002B2CF9AE}" pid="6" name="ICV">
    <vt:lpwstr>15E6549570774B76934E417B99484B2D_13</vt:lpwstr>
  </property>
</Properties>
</file>