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D11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6E8AD06A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4B9218A0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（以下简称甲方）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采购，在</w:t>
      </w:r>
      <w:r>
        <w:rPr>
          <w:rFonts w:hint="eastAsia" w:ascii="宋体" w:hAnsi="宋体"/>
          <w:color w:val="auto"/>
          <w:sz w:val="24"/>
          <w:u w:val="single"/>
        </w:rPr>
        <w:t>陕西省财政厅政府采购管理处</w:t>
      </w:r>
      <w:r>
        <w:rPr>
          <w:rFonts w:hint="eastAsia" w:ascii="宋体" w:hAnsi="宋体"/>
          <w:color w:val="auto"/>
          <w:sz w:val="24"/>
        </w:rPr>
        <w:t>的监督管理下，由</w:t>
      </w:r>
      <w:r>
        <w:rPr>
          <w:rFonts w:hint="eastAsia" w:ascii="宋体" w:hAnsi="宋体"/>
          <w:color w:val="auto"/>
          <w:sz w:val="24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</w:rPr>
        <w:t>组织采购，选定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</w:t>
      </w:r>
      <w:r>
        <w:rPr>
          <w:rFonts w:hint="eastAsia" w:ascii="宋体" w:hAnsi="宋体"/>
          <w:sz w:val="24"/>
        </w:rPr>
        <w:t>签署本合同。</w:t>
      </w:r>
    </w:p>
    <w:p w14:paraId="3EF0DE27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一、合同内容</w:t>
      </w:r>
    </w:p>
    <w:p w14:paraId="432B389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乙方负责按照合同确定的服务内容及技术标准组织交付（具体采购项目见附件1），确保服务内容各项指标达到要求；负责操作和管理人员的培训工作，保证甲方能够正常操作和维护，同时乙方根据服务项目的使用特性做好售后服务。</w:t>
      </w:r>
    </w:p>
    <w:p w14:paraId="35172D0D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5BA38659">
      <w:pPr>
        <w:spacing w:line="360" w:lineRule="auto"/>
        <w:ind w:left="420"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合同总价：</w:t>
      </w:r>
      <w:r>
        <w:rPr>
          <w:rFonts w:hint="eastAsia" w:ascii="宋体" w:hAnsi="宋体" w:eastAsia="宋体" w:cs="宋体"/>
          <w:sz w:val="24"/>
          <w:u w:val="single"/>
        </w:rPr>
        <w:t xml:space="preserve">人民币       元整（¥         元） </w:t>
      </w:r>
    </w:p>
    <w:p w14:paraId="5749DD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说明：合同总价一次包死，不受市场价格变化的影响，并作为结算的唯一依据。</w:t>
      </w:r>
    </w:p>
    <w:p w14:paraId="2DCD6EFC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三、合同款项支付</w:t>
      </w:r>
    </w:p>
    <w:p w14:paraId="04A6CC01">
      <w:pPr>
        <w:tabs>
          <w:tab w:val="left" w:pos="840"/>
        </w:tabs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</w:t>
      </w:r>
      <w:r>
        <w:rPr>
          <w:rFonts w:hint="eastAsia" w:ascii="宋体" w:hAnsi="宋体" w:eastAsia="宋体" w:cs="宋体"/>
          <w:sz w:val="24"/>
        </w:rPr>
        <w:t>结算单位：采购人结</w:t>
      </w:r>
      <w:r>
        <w:rPr>
          <w:rFonts w:hint="eastAsia" w:ascii="宋体" w:hAnsi="宋体" w:eastAsia="宋体" w:cs="宋体"/>
          <w:color w:val="auto"/>
          <w:sz w:val="24"/>
        </w:rPr>
        <w:t>算，在付款前，必须开具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全额</w:t>
      </w:r>
      <w:r>
        <w:rPr>
          <w:rFonts w:hint="eastAsia" w:ascii="宋体" w:hAnsi="宋体" w:eastAsia="宋体" w:cs="宋体"/>
          <w:color w:val="auto"/>
          <w:sz w:val="24"/>
        </w:rPr>
        <w:t>发票给采购人。</w:t>
      </w:r>
    </w:p>
    <w:p w14:paraId="0FC386EE">
      <w:pPr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付款方式：</w:t>
      </w:r>
    </w:p>
    <w:p w14:paraId="6373786C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2B7771E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四、交付条件</w:t>
      </w:r>
    </w:p>
    <w:p w14:paraId="203199A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（一）项目实施地点：</w:t>
      </w:r>
    </w:p>
    <w:p w14:paraId="5BE4442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（二）服务期限：</w:t>
      </w:r>
    </w:p>
    <w:p w14:paraId="3CBC12ED">
      <w:pPr>
        <w:spacing w:line="360" w:lineRule="auto"/>
        <w:ind w:firstLine="600" w:firstLineChars="250"/>
        <w:rPr>
          <w:rFonts w:hint="eastAsia"/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1259057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五、质量保证</w:t>
      </w:r>
    </w:p>
    <w:p w14:paraId="319D04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（一）乙方提供给甲方的服务必须是设计科学、技术成熟的。</w:t>
      </w:r>
    </w:p>
    <w:p w14:paraId="719763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（二）设计技术专利、外形专利、应用软件专利等均应符合我国有关法律及行业标准，凡因以上问题与第三方发生的任何纠纷均与甲方无关。</w:t>
      </w:r>
    </w:p>
    <w:p w14:paraId="5943788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（三）安全可靠。在正常使用下不应对操作者造成任何人身伤害，如因服务质量或标示不明确而对操作者造成损失的，甲方将保留依法索赔的权利。</w:t>
      </w:r>
    </w:p>
    <w:p w14:paraId="6110092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（四）服务内容必须与其标示的技术指标项符合，甲方有权在有效服务期内依据技术指标对该产品进行技术验收，其主要的技术参数达不到标准时，甲方有权依据有关法律索赔。</w:t>
      </w:r>
    </w:p>
    <w:p w14:paraId="6DA62765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七、技术规格及标准。（详见附件2）</w:t>
      </w:r>
    </w:p>
    <w:p w14:paraId="2FBEEEBE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八、技术服务</w:t>
      </w:r>
    </w:p>
    <w:p w14:paraId="1EE69DF4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（一）技术资料：</w:t>
      </w:r>
    </w:p>
    <w:p w14:paraId="7ABB4DCB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（二）人员培训：</w:t>
      </w:r>
      <w:r>
        <w:rPr>
          <w:rFonts w:hint="eastAsia" w:ascii="宋体" w:hAnsi="宋体" w:eastAsia="宋体" w:cs="宋体"/>
          <w:sz w:val="24"/>
        </w:rPr>
        <w:t>免费为使用单位培训操作人员至能达到操作要求。</w:t>
      </w:r>
    </w:p>
    <w:p w14:paraId="2EAB325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</w:rPr>
        <w:t>三）服务承诺：</w:t>
      </w:r>
    </w:p>
    <w:p w14:paraId="6E767420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6107594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九、违约责任</w:t>
      </w:r>
    </w:p>
    <w:p w14:paraId="634AF61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（一）按《中华人民共和国民法典》中的相关条款执行。</w:t>
      </w:r>
    </w:p>
    <w:p w14:paraId="0F06C8E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（二）未按合同要求的提供服务或服务质量不能满足技术要求，采购人有权终止合同，甚至对供方违约行为进行追究。</w:t>
      </w:r>
    </w:p>
    <w:p w14:paraId="0A40D0E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（三）如有纠纷，双方友好协商解决，协商不成时可诉讼到甲方所在地人民法院解决。</w:t>
      </w:r>
    </w:p>
    <w:p w14:paraId="7FC06CA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十、验收</w:t>
      </w:r>
      <w:bookmarkStart w:id="0" w:name="_GoBack"/>
      <w:bookmarkEnd w:id="0"/>
    </w:p>
    <w:p w14:paraId="3C8B292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5BEAC7C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十一、其他事项</w:t>
      </w:r>
    </w:p>
    <w:p w14:paraId="26C286A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19A7FA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（二）本合同一式六份，</w:t>
      </w:r>
      <w:r>
        <w:rPr>
          <w:rFonts w:hint="eastAsia" w:ascii="宋体" w:hAnsi="宋体" w:eastAsia="宋体" w:cs="宋体"/>
          <w:sz w:val="24"/>
        </w:rPr>
        <w:t>甲方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四份，乙方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一份，采购代理机构一份，甲乙双方签字盖章后生效。</w:t>
      </w:r>
    </w:p>
    <w:p w14:paraId="74D8C4F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bCs/>
          <w:sz w:val="24"/>
        </w:rPr>
        <w:t>磋商文件、响应文件也是合同的组成部分，合同中未约定的以磋商文件、响应文件为准。</w:t>
      </w:r>
    </w:p>
    <w:p w14:paraId="629EB1A4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合同签订地点：   </w:t>
      </w:r>
    </w:p>
    <w:p w14:paraId="4AAC16FE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合同签订时间：    年   月    日</w:t>
      </w:r>
    </w:p>
    <w:p w14:paraId="3F6DFBFD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79D0FD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    方                           乙    方</w:t>
      </w:r>
    </w:p>
    <w:p w14:paraId="09D20E9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单位名称：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单位名称： </w:t>
      </w:r>
    </w:p>
    <w:p w14:paraId="619E764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地   址：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地    址：</w:t>
      </w:r>
    </w:p>
    <w:p w14:paraId="1D95C855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4B223E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26EEFF23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法人代表：                         法人代表： </w:t>
      </w:r>
    </w:p>
    <w:p w14:paraId="131DE7F1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B08A66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联系电话： </w:t>
      </w:r>
    </w:p>
    <w:p w14:paraId="3662A49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开 户 行：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开 户 行： </w:t>
      </w:r>
    </w:p>
    <w:p w14:paraId="233E297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账    号：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账    号：</w:t>
      </w:r>
    </w:p>
    <w:p w14:paraId="0658153B">
      <w:pPr>
        <w:pStyle w:val="3"/>
        <w:ind w:left="2100" w:hanging="1050"/>
        <w:rPr>
          <w:rFonts w:hint="eastAsia" w:ascii="宋体" w:hAnsi="宋体" w:eastAsia="宋体" w:cs="宋体"/>
        </w:rPr>
      </w:pPr>
    </w:p>
    <w:p w14:paraId="2A682E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  <w:r>
        <w:rPr>
          <w:rFonts w:hint="eastAsia" w:ascii="宋体" w:hAnsi="宋体"/>
          <w:b/>
          <w:bCs/>
          <w:sz w:val="24"/>
        </w:rPr>
        <w:t xml:space="preserve">附件1 </w:t>
      </w:r>
      <w:r>
        <w:rPr>
          <w:rFonts w:hint="eastAsia" w:asciiTheme="minorEastAsia" w:hAnsiTheme="minorEastAsia" w:eastAsiaTheme="minorEastAsia"/>
          <w:b/>
          <w:bCs/>
          <w:sz w:val="24"/>
        </w:rPr>
        <w:t>服务</w:t>
      </w:r>
      <w:r>
        <w:rPr>
          <w:rFonts w:hint="eastAsia" w:ascii="宋体" w:hAnsi="宋体"/>
          <w:b/>
          <w:bCs/>
          <w:sz w:val="24"/>
        </w:rPr>
        <w:t>内容</w:t>
      </w:r>
    </w:p>
    <w:tbl>
      <w:tblPr>
        <w:tblStyle w:val="6"/>
        <w:tblpPr w:leftFromText="180" w:rightFromText="180" w:vertAnchor="text" w:horzAnchor="page" w:tblpX="1137" w:tblpY="339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096"/>
        <w:gridCol w:w="1435"/>
        <w:gridCol w:w="1400"/>
        <w:gridCol w:w="2102"/>
        <w:gridCol w:w="875"/>
      </w:tblGrid>
      <w:tr w14:paraId="6DB4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85" w:type="dxa"/>
            <w:vAlign w:val="center"/>
          </w:tcPr>
          <w:p w14:paraId="2F3114EA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2096" w:type="dxa"/>
            <w:vAlign w:val="center"/>
          </w:tcPr>
          <w:p w14:paraId="737B2F1B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服务内容</w:t>
            </w:r>
          </w:p>
        </w:tc>
        <w:tc>
          <w:tcPr>
            <w:tcW w:w="1435" w:type="dxa"/>
            <w:vAlign w:val="center"/>
          </w:tcPr>
          <w:p w14:paraId="0C79C148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</w:t>
            </w:r>
          </w:p>
          <w:p w14:paraId="579C7B6D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1400" w:type="dxa"/>
            <w:vAlign w:val="center"/>
          </w:tcPr>
          <w:p w14:paraId="6B27A079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 w:eastAsiaTheme="minorEastAsia"/>
                <w:bCs/>
                <w:sz w:val="24"/>
              </w:rPr>
            </w:pPr>
            <w:r>
              <w:rPr>
                <w:rFonts w:ascii="宋体" w:hAnsi="宋体" w:eastAsiaTheme="minorEastAsia"/>
                <w:bCs/>
                <w:sz w:val="24"/>
              </w:rPr>
              <w:t>数量</w:t>
            </w:r>
          </w:p>
        </w:tc>
        <w:tc>
          <w:tcPr>
            <w:tcW w:w="2102" w:type="dxa"/>
            <w:vAlign w:val="center"/>
          </w:tcPr>
          <w:p w14:paraId="395C560C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  <w:p w14:paraId="4DC7AC02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875" w:type="dxa"/>
            <w:vAlign w:val="center"/>
          </w:tcPr>
          <w:p w14:paraId="2473C372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备注</w:t>
            </w:r>
          </w:p>
        </w:tc>
      </w:tr>
      <w:tr w14:paraId="28B4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11F1C7F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34720D0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0E9598E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1BCD5157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75FC775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A043E5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9BC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0AF204B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5E3B47B2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317B28E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17B16D2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178B074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7CDDD82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401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5E10B77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60CDB3F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06FD5213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3EDFEC5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2D7EB39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747172E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61F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50DB813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02D4012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0A75F08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5F18984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500314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08F01F27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322C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1FE5469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7AADE3F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69C7228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3C7341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76255443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633DDCB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FCF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7C8995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6EA7CE2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24685DC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507BFA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374E068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6914750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2DF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493" w:type="dxa"/>
            <w:gridSpan w:val="6"/>
          </w:tcPr>
          <w:p w14:paraId="77AFC6DC">
            <w:pPr>
              <w:spacing w:line="360" w:lineRule="auto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总金额：</w:t>
            </w:r>
            <w:r>
              <w:rPr>
                <w:rFonts w:hint="eastAsia" w:ascii="宋体" w:hAnsi="宋体"/>
                <w:sz w:val="24"/>
              </w:rPr>
              <w:t>人民币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元整（¥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元）</w:t>
            </w:r>
          </w:p>
        </w:tc>
      </w:tr>
    </w:tbl>
    <w:p w14:paraId="23623896">
      <w:pPr>
        <w:spacing w:line="360" w:lineRule="auto"/>
        <w:rPr>
          <w:rFonts w:ascii="宋体" w:hAnsi="宋体"/>
          <w:b/>
          <w:bCs/>
          <w:sz w:val="24"/>
        </w:rPr>
      </w:pPr>
    </w:p>
    <w:p w14:paraId="47AA8093">
      <w:pPr>
        <w:spacing w:line="360" w:lineRule="auto"/>
        <w:rPr>
          <w:rFonts w:ascii="宋体" w:hAnsi="宋体" w:eastAsiaTheme="minorEastAsia"/>
          <w:b/>
          <w:bCs/>
          <w:sz w:val="24"/>
        </w:rPr>
      </w:pPr>
    </w:p>
    <w:p w14:paraId="4E14336B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附件2 性能参数表</w:t>
      </w:r>
    </w:p>
    <w:p w14:paraId="2E11B38F">
      <w:pPr>
        <w:keepLines/>
        <w:wordWrap w:val="0"/>
        <w:topLinePunct/>
        <w:spacing w:line="360" w:lineRule="auto"/>
        <w:ind w:right="48"/>
        <w:rPr>
          <w:rFonts w:ascii="宋体" w:hAnsi="宋体" w:cs="宋体"/>
          <w:sz w:val="24"/>
        </w:rPr>
      </w:pPr>
    </w:p>
    <w:p w14:paraId="4C0C00F4">
      <w:pPr>
        <w:pStyle w:val="3"/>
        <w:rPr>
          <w:rFonts w:eastAsiaTheme="minorEastAsia"/>
        </w:rPr>
      </w:pPr>
    </w:p>
    <w:p w14:paraId="1E407A95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688D9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5288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5288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6522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6522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125A72F0"/>
    <w:rsid w:val="1D61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1267</Words>
  <Characters>1278</Characters>
  <Lines>11</Lines>
  <Paragraphs>3</Paragraphs>
  <TotalTime>1</TotalTime>
  <ScaleCrop>false</ScaleCrop>
  <LinksUpToDate>false</LinksUpToDate>
  <CharactersWithSpaces>1547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2026-05-06T07:16:31Z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