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版本号：0617-2612GZ1312.1B120260605001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学生区基础设施修缮改造屋面防水维修项目(二次)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0617-2612GZ1312.1B1</w:t>
      </w:r>
      <w:r>
        <w:br/>
      </w:r>
      <w:r>
        <w:br/>
      </w:r>
      <w:r>
        <w:br/>
      </w:r>
    </w:p>
    <w:p>
      <w:pPr>
        <w:pStyle w:val="null3"/>
        <w:jc w:val="center"/>
        <w:outlineLvl w:val="2"/>
      </w:pPr>
      <w:r>
        <w:rPr>
          <w:rFonts w:ascii="仿宋_GB2312" w:hAnsi="仿宋_GB2312" w:cs="仿宋_GB2312" w:eastAsia="仿宋_GB2312"/>
          <w:sz w:val="28"/>
          <w:b/>
        </w:rPr>
        <w:t>西北政法大学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西北政法大学</w:t>
      </w:r>
      <w:r>
        <w:rPr>
          <w:rFonts w:ascii="仿宋_GB2312" w:hAnsi="仿宋_GB2312" w:cs="仿宋_GB2312" w:eastAsia="仿宋_GB2312"/>
        </w:rPr>
        <w:t>委托，拟对</w:t>
      </w:r>
      <w:r>
        <w:rPr>
          <w:rFonts w:ascii="仿宋_GB2312" w:hAnsi="仿宋_GB2312" w:cs="仿宋_GB2312" w:eastAsia="仿宋_GB2312"/>
        </w:rPr>
        <w:t>学生区基础设施修缮改造屋面防水维修项目(二次)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0617-2612GZ1312.1B1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学生区基础设施修缮改造屋面防水维修项目(二次)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本项目为学生区基础设施修缮改造屋面防水维修项目，采购包1采购内容为：雁塔校区1号学生公寓、2号学生公寓、教工俱乐部、离退休处楼等建筑屋面防水维修。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采购包1（雁塔校区屋面防水维修）：属于专门面向中小企业采购。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1、供应商资质：须具备建筑工程施工总承包三级及以上资质，或防水防腐保温工程专业承包二级及以上资质，且具备有效的安全生产许可证</w:t>
      </w:r>
    </w:p>
    <w:p>
      <w:pPr>
        <w:pStyle w:val="null3"/>
      </w:pPr>
      <w:r>
        <w:rPr>
          <w:rFonts w:ascii="仿宋_GB2312" w:hAnsi="仿宋_GB2312" w:cs="仿宋_GB2312" w:eastAsia="仿宋_GB2312"/>
        </w:rPr>
        <w:t>2、拟派项目负责人资质和专业要求 具有建筑工程专业二级及以上注册建造师执业资格，具有有效的安全生产考核合格证书（建安B证），在本单位注册，且未担任其他在建设工程项目的项目经理：拟派项目负责人资质和专业要求：具有建筑工程专业二级及以上注册建造师执业资格，具有有效的安全生产考核合格证书（建安B证），在本单位注册，且未担任其他在建设工程项目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西北政法大学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西安市长安区西长安街558号西北政法大学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029-88182569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张越、张鑫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代理服务费收费标准：采购代理机构参照国家计委关于印发《招标代理服务收费管理暂行办法》的通知（计价格〔2002〕1980号）、《国家发展和改革委员会办公厅关于招标代理服务收费有关问题的通知》（发改办价格〔2003〕857号）规定标准向成交供应商收取代理服务费。 2.缴费时间：确定成交人后3日内，由成交人向招标代理机构一次付清招标代理服务费。 3.银行信息： 户名：西北（陕西）国际招标有限公司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西北政法大学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西北政法大学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西北政法大学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联系人：张云娜</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198,000.00</w:t>
      </w:r>
    </w:p>
    <w:p>
      <w:pPr>
        <w:pStyle w:val="null3"/>
      </w:pPr>
      <w:r>
        <w:rPr>
          <w:rFonts w:ascii="仿宋_GB2312" w:hAnsi="仿宋_GB2312" w:cs="仿宋_GB2312" w:eastAsia="仿宋_GB2312"/>
        </w:rPr>
        <w:t>采购包最高限价（元）: 198,000.00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雁塔校区屋面防水维修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标的名称：雁塔校区屋面防水维修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shd w:fill="FFFFFF" w:val="clear"/>
              </w:rPr>
              <w:t>1.项目名称：</w:t>
            </w:r>
          </w:p>
          <w:p>
            <w:pPr>
              <w:pStyle w:val="null3"/>
              <w:ind w:firstLine="420"/>
              <w:jc w:val="both"/>
            </w:pPr>
            <w:r>
              <w:rPr>
                <w:rFonts w:ascii="仿宋_GB2312" w:hAnsi="仿宋_GB2312" w:cs="仿宋_GB2312" w:eastAsia="仿宋_GB2312"/>
                <w:sz w:val="21"/>
              </w:rPr>
              <w:t>学生区基础设施修缮改造屋面防水维修项目</w:t>
            </w:r>
          </w:p>
          <w:p>
            <w:pPr>
              <w:pStyle w:val="null3"/>
              <w:jc w:val="both"/>
            </w:pPr>
            <w:r>
              <w:rPr>
                <w:rFonts w:ascii="仿宋_GB2312" w:hAnsi="仿宋_GB2312" w:cs="仿宋_GB2312" w:eastAsia="仿宋_GB2312"/>
                <w:sz w:val="21"/>
              </w:rPr>
              <w:t>2.项目概况：</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雁塔校区</w:t>
            </w:r>
            <w:r>
              <w:rPr>
                <w:rFonts w:ascii="仿宋_GB2312" w:hAnsi="仿宋_GB2312" w:cs="仿宋_GB2312" w:eastAsia="仿宋_GB2312"/>
                <w:sz w:val="21"/>
              </w:rPr>
              <w:t>1号学生公寓、2号学生公寓、教工俱乐部、离退休处楼等建筑屋面防水层出现老化、开裂、破损等问题，每逢雨季出现顶层漏水、渗水现象，导致室内墙面受潮、墙皮脱落、吊顶霉变，既影响正常办公秩序和学生正常生活，也存在安全隐患，同时加速建筑结构损坏。</w:t>
            </w:r>
          </w:p>
          <w:p>
            <w:pPr>
              <w:pStyle w:val="null3"/>
              <w:jc w:val="both"/>
            </w:pPr>
            <w:r>
              <w:rPr>
                <w:rFonts w:ascii="仿宋_GB2312" w:hAnsi="仿宋_GB2312" w:cs="仿宋_GB2312" w:eastAsia="仿宋_GB2312"/>
                <w:sz w:val="21"/>
              </w:rPr>
              <w:t>通过本次屋面防水维修工程，彻底解决屋面漏水问题，恢复屋面防水功能，保护建筑主体结构，铲除粉刷受潮墙面，改善居住与办公环境，消除安全隐患。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shd w:fill="FFFFFF" w:val="clear"/>
              </w:rPr>
              <w:t>采购需求：</w:t>
            </w:r>
          </w:p>
          <w:p>
            <w:pPr>
              <w:pStyle w:val="null3"/>
              <w:ind w:firstLine="420"/>
              <w:jc w:val="both"/>
            </w:pPr>
            <w:r>
              <w:rPr>
                <w:rFonts w:ascii="仿宋_GB2312" w:hAnsi="仿宋_GB2312" w:cs="仿宋_GB2312" w:eastAsia="仿宋_GB2312"/>
                <w:sz w:val="21"/>
              </w:rPr>
              <w:t>对屋面进行铲除、修补、重做防水层，解决雨水渗漏问题</w:t>
            </w:r>
            <w:r>
              <w:rPr>
                <w:rFonts w:ascii="仿宋_GB2312" w:hAnsi="仿宋_GB2312" w:cs="仿宋_GB2312" w:eastAsia="仿宋_GB2312"/>
                <w:sz w:val="21"/>
              </w:rPr>
              <w:t>;防止雨水侵入屋面保温层、结构层，避免钢筋锈蚀、混凝土老化，延长建筑使用寿命;解决顶层潮湿、发霉、异味问题，铲除粉刷受潮墙面，提升室内使用环境与舒适度;消除因漏水导致的电路受潮、墙面脱落等安全风险。</w:t>
            </w:r>
          </w:p>
          <w:p>
            <w:pPr>
              <w:pStyle w:val="null3"/>
              <w:jc w:val="both"/>
            </w:pPr>
            <w:r>
              <w:rPr>
                <w:rFonts w:ascii="仿宋_GB2312" w:hAnsi="仿宋_GB2312" w:cs="仿宋_GB2312" w:eastAsia="仿宋_GB2312"/>
                <w:sz w:val="21"/>
                <w:shd w:fill="FFFFFF" w:val="clear"/>
              </w:rPr>
              <w:t>4.合同履行期限：</w:t>
            </w:r>
            <w:r>
              <w:rPr>
                <w:rFonts w:ascii="仿宋_GB2312" w:hAnsi="仿宋_GB2312" w:cs="仿宋_GB2312" w:eastAsia="仿宋_GB2312"/>
                <w:sz w:val="21"/>
              </w:rPr>
              <w:t>30天(具体以签订合同为准)</w:t>
            </w:r>
          </w:p>
          <w:p>
            <w:pPr>
              <w:pStyle w:val="null3"/>
              <w:jc w:val="both"/>
            </w:pPr>
            <w:r>
              <w:rPr>
                <w:rFonts w:ascii="仿宋_GB2312" w:hAnsi="仿宋_GB2312" w:cs="仿宋_GB2312" w:eastAsia="仿宋_GB2312"/>
                <w:sz w:val="21"/>
                <w:shd w:fill="FFFFFF" w:val="clear"/>
              </w:rPr>
              <w:t>5.质量要求：</w:t>
            </w:r>
            <w:r>
              <w:rPr>
                <w:rFonts w:ascii="仿宋_GB2312" w:hAnsi="仿宋_GB2312" w:cs="仿宋_GB2312" w:eastAsia="仿宋_GB2312"/>
                <w:sz w:val="21"/>
              </w:rPr>
              <w:t>施工符合《屋面工程技术规范》及建筑防水工程相关标准。约定质保期不少于</w:t>
            </w:r>
            <w:r>
              <w:rPr>
                <w:rFonts w:ascii="仿宋_GB2312" w:hAnsi="仿宋_GB2312" w:cs="仿宋_GB2312" w:eastAsia="仿宋_GB2312"/>
                <w:sz w:val="21"/>
              </w:rPr>
              <w:t>5年，质保期内出现渗漏免费返修。验收要求连续下雨或闭水试验不少于24小时，顶层无渗水、无湿痕。本项目的施工符合国家及行业验收合格标准，组织相应人员进行验收。</w:t>
            </w:r>
          </w:p>
          <w:p>
            <w:pPr>
              <w:pStyle w:val="null3"/>
              <w:jc w:val="both"/>
            </w:pPr>
            <w:r>
              <w:rPr>
                <w:rFonts w:ascii="仿宋_GB2312" w:hAnsi="仿宋_GB2312" w:cs="仿宋_GB2312" w:eastAsia="仿宋_GB2312"/>
                <w:sz w:val="21"/>
                <w:shd w:fill="FFFFFF" w:val="clear"/>
              </w:rPr>
              <w:t>6.本项目不接受联合体投标。</w:t>
            </w:r>
          </w:p>
          <w:p>
            <w:pPr>
              <w:pStyle w:val="null3"/>
              <w:jc w:val="both"/>
            </w:pPr>
            <w:r>
              <w:rPr>
                <w:rFonts w:ascii="仿宋_GB2312" w:hAnsi="仿宋_GB2312" w:cs="仿宋_GB2312" w:eastAsia="仿宋_GB2312"/>
                <w:sz w:val="21"/>
                <w:shd w:fill="FFFFFF" w:val="clear"/>
              </w:rPr>
              <w:t>7.工程量清单以电子版附件形式发出。</w:t>
            </w:r>
          </w:p>
          <w:p>
            <w:pPr>
              <w:pStyle w:val="null3"/>
            </w:pPr>
            <w:r>
              <w:rPr>
                <w:rFonts w:ascii="仿宋_GB2312" w:hAnsi="仿宋_GB2312" w:cs="仿宋_GB2312" w:eastAsia="仿宋_GB2312"/>
                <w:sz w:val="32"/>
                <w:b/>
              </w:rPr>
              <w:t>清单编制说明</w:t>
            </w:r>
          </w:p>
          <w:p>
            <w:pPr>
              <w:pStyle w:val="null3"/>
            </w:pPr>
            <w:r>
              <w:rPr>
                <w:rFonts w:ascii="仿宋_GB2312" w:hAnsi="仿宋_GB2312" w:cs="仿宋_GB2312" w:eastAsia="仿宋_GB2312"/>
                <w:sz w:val="21"/>
                <w:shd w:fill="FFFFFF" w:val="clear"/>
              </w:rPr>
              <w:t>一、工程概况：</w:t>
            </w:r>
          </w:p>
          <w:p>
            <w:pPr>
              <w:pStyle w:val="null3"/>
            </w:pPr>
            <w:r>
              <w:rPr>
                <w:rFonts w:ascii="仿宋_GB2312" w:hAnsi="仿宋_GB2312" w:cs="仿宋_GB2312" w:eastAsia="仿宋_GB2312"/>
                <w:sz w:val="21"/>
                <w:shd w:fill="FFFFFF" w:val="clear"/>
              </w:rPr>
              <w:t>西北政法大学雁塔校区屋面防水维修包含区教工俱乐部屋面防水维修、老干处屋面防水维修、1号公寓楼屋面漏水维修和2号公寓楼屋面漏水维修。</w:t>
            </w:r>
          </w:p>
          <w:p>
            <w:pPr>
              <w:pStyle w:val="null3"/>
            </w:pPr>
            <w:r>
              <w:rPr>
                <w:rFonts w:ascii="仿宋_GB2312" w:hAnsi="仿宋_GB2312" w:cs="仿宋_GB2312" w:eastAsia="仿宋_GB2312"/>
                <w:sz w:val="21"/>
                <w:shd w:fill="FFFFFF" w:val="clear"/>
              </w:rPr>
              <w:t>二、编制依据：</w:t>
            </w:r>
          </w:p>
          <w:p>
            <w:pPr>
              <w:pStyle w:val="null3"/>
            </w:pPr>
            <w:r>
              <w:rPr>
                <w:rFonts w:ascii="仿宋_GB2312" w:hAnsi="仿宋_GB2312" w:cs="仿宋_GB2312" w:eastAsia="仿宋_GB2312"/>
                <w:sz w:val="21"/>
                <w:shd w:fill="FFFFFF" w:val="clear"/>
              </w:rPr>
              <w:t>1.陕西省住房和城乡建设厅关于印发2025陕西省建设工程费用规则等计价依据的通知（陕建管发〔2025〕10号）；</w:t>
            </w:r>
          </w:p>
          <w:p>
            <w:pPr>
              <w:pStyle w:val="null3"/>
            </w:pPr>
            <w:r>
              <w:rPr>
                <w:rFonts w:ascii="仿宋_GB2312" w:hAnsi="仿宋_GB2312" w:cs="仿宋_GB2312" w:eastAsia="仿宋_GB2312"/>
                <w:sz w:val="21"/>
                <w:shd w:fill="FFFFFF" w:val="clear"/>
              </w:rPr>
              <w:t>2.《陕西省建设工程工程量清单计价标准及计算标准》（2025）（陕建标发[2025]2号）；</w:t>
            </w:r>
          </w:p>
          <w:p>
            <w:pPr>
              <w:pStyle w:val="null3"/>
            </w:pPr>
            <w:r>
              <w:rPr>
                <w:rFonts w:ascii="仿宋_GB2312" w:hAnsi="仿宋_GB2312" w:cs="仿宋_GB2312" w:eastAsia="仿宋_GB2312"/>
                <w:sz w:val="21"/>
                <w:shd w:fill="FFFFFF" w:val="clear"/>
              </w:rPr>
              <w:t>3.《陕西省建设工程工程量清单计价规则》（2025）；《陕西省房屋建筑与装饰工程基价表》（2025）、《陕西省通用安装工程基价表》（2025）、《陕西省市政工程基价表》（2025）、《陕西省园林绿化工程基价表》（2025）；</w:t>
            </w:r>
          </w:p>
          <w:p>
            <w:pPr>
              <w:pStyle w:val="null3"/>
            </w:pPr>
            <w:r>
              <w:rPr>
                <w:rFonts w:ascii="仿宋_GB2312" w:hAnsi="仿宋_GB2312" w:cs="仿宋_GB2312" w:eastAsia="仿宋_GB2312"/>
                <w:sz w:val="21"/>
                <w:shd w:fill="FFFFFF" w:val="clear"/>
              </w:rPr>
              <w:t>4.施工现场情况、正常施工组织设计及常规施工方案；</w:t>
            </w:r>
          </w:p>
          <w:p>
            <w:pPr>
              <w:pStyle w:val="null3"/>
            </w:pPr>
            <w:r>
              <w:rPr>
                <w:rFonts w:ascii="仿宋_GB2312" w:hAnsi="仿宋_GB2312" w:cs="仿宋_GB2312" w:eastAsia="仿宋_GB2312"/>
                <w:sz w:val="21"/>
                <w:shd w:fill="FFFFFF" w:val="clear"/>
              </w:rPr>
              <w:t>5.材料价按照正常的市场价格。</w:t>
            </w:r>
          </w:p>
          <w:p>
            <w:pPr>
              <w:pStyle w:val="null3"/>
              <w:jc w:val="center"/>
            </w:pPr>
            <w:r>
              <w:rPr>
                <w:rFonts w:ascii="仿宋_GB2312" w:hAnsi="仿宋_GB2312" w:cs="仿宋_GB2312" w:eastAsia="仿宋_GB2312"/>
                <w:b/>
              </w:rPr>
              <w:t>推荐的主要材料品牌表</w:t>
            </w:r>
          </w:p>
          <w:tbl>
            <w:tblPr>
              <w:tblBorders>
                <w:top w:val="none" w:color="000000" w:sz="4"/>
                <w:left w:val="none" w:color="000000" w:sz="4"/>
                <w:bottom w:val="none" w:color="000000" w:sz="4"/>
                <w:right w:val="none" w:color="000000" w:sz="4"/>
                <w:insideH w:val="none"/>
                <w:insideV w:val="none"/>
              </w:tblBorders>
            </w:tblPr>
            <w:tblGrid>
              <w:gridCol w:w="304"/>
              <w:gridCol w:w="611"/>
              <w:gridCol w:w="1047"/>
              <w:gridCol w:w="523"/>
            </w:tblGrid>
            <w:tr>
              <w:tc>
                <w:tcPr>
                  <w:tcW w:type="dxa" w:w="3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材料名称</w:t>
                  </w:r>
                </w:p>
              </w:tc>
              <w:tc>
                <w:tcPr>
                  <w:tcW w:type="dxa" w:w="10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推荐（或相当于）品牌</w:t>
                  </w:r>
                </w:p>
              </w:tc>
              <w:tc>
                <w:tcPr>
                  <w:tcW w:type="dxa" w:w="52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防水卷材</w:t>
                  </w:r>
                </w:p>
              </w:tc>
              <w:tc>
                <w:tcPr>
                  <w:tcW w:type="dxa" w:w="10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东方雨虹、雨中情、德高</w:t>
                  </w:r>
                </w:p>
              </w:tc>
              <w:tc>
                <w:tcPr>
                  <w:tcW w:type="dxa" w:w="5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备注：所有品牌均为对产品的性能或功能说明，不作指定，供应商应选用同等档次及以上产品，满足采购需求。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符合《屋面工程技术规范》及建筑防水工程相关标准。约定质保期不少于5年，质保期内出现渗漏免费返修。验收要求连续下雨或闭水试验不少于24小时，顶层无渗水、无湿痕。本项目的施工达到国家现行技术规范要求合格标准及满足采购人要求，组织相应人员进行验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审计的2024年或2025年的财务报告（包括四表一注，即资产负债表、利润表、现金流量表、所有者权益变动表及其附注），且无反对意见；事业法人提供部门决算报告；/或在磋商日期前六个月内其基本开户银行出具的资信证明（附《基本存款账户信息》或《银行开户许可证》复印件）；/或财政部门认可的政府采购专业担保机构出具的磋商担保函；/或表明具有良好的商业信誉和健全的财务会计制度的诚信声明；以上四种形式的资料提供任何一种即可。 （三）具有履行合同所必需的设备和专业技术能力。 提供声明文件原件。 （四）具有依法缴纳税收的良好记录。 提供缴费所属日期为磋商截止时间前6个月内任一月份（磋商文件响应文件提交截止时间当月不计入）的增值税（或所得税）缴费凭据或税务机关出具的完税证明/在法规范围内不需提供的应出具书面说明和证明文件；/或具有依法缴纳税收的诚信声明；以上二种形式的资料提供任何一种即可。 （五）具有依法缴纳社会保障资金的良好记录。提供缴费所属日期为磋商截止时间前6个月内任一月份（磋商文件响应文件提交截止时间当月不计入）的缴费凭据或社保机关出具的缴费证明/在法规范围内不需提供的应出具书面说明和证明文件；/或具有依法缴纳社会保障资金的缴纳记录的诚信声明；以上二种形式的资料提供任何一种即可。 （六）参加政府采购活动前3年内在经营活动中没有重大违法记录的书面声明（原件）。 （七）法人代表授权书（原件）及被授权人递交文件截止截止时间前6个月内任一月份的社保缴纳证明。</w:t>
            </w:r>
          </w:p>
        </w:tc>
        <w:tc>
          <w:tcPr>
            <w:tcW w:type="dxa" w:w="1661"/>
          </w:tcPr>
          <w:p>
            <w:pPr>
              <w:pStyle w:val="null3"/>
            </w:pPr>
            <w:r>
              <w:rPr>
                <w:rFonts w:ascii="仿宋_GB2312" w:hAnsi="仿宋_GB2312" w:cs="仿宋_GB2312" w:eastAsia="仿宋_GB2312"/>
              </w:rPr>
              <w:t>法人代表授权书 供应商应提交的相关资格证明材料 供应商无重大违法记录的书面声明格式 陕西省政府采购供应商拒绝政府采购领域商业贿赂承诺书 响应函 诚信声明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须具备建筑工程施工总承包三级及以上资质，或防水防腐保温工程专业承包二级及以上资质，且具备有效的安全生产许可证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拟派项目负责人资质和专业要求 具有建筑工程专业二级及以上注册建造师执业资格，具有有效的安全生产考核合格证书（建安B证），在本单位注册，且未担任其他在建设工程项目的项目经理</w:t>
            </w:r>
          </w:p>
        </w:tc>
        <w:tc>
          <w:tcPr>
            <w:tcW w:type="dxa" w:w="3322"/>
          </w:tcPr>
          <w:p>
            <w:pPr>
              <w:pStyle w:val="null3"/>
            </w:pPr>
            <w:r>
              <w:rPr>
                <w:rFonts w:ascii="仿宋_GB2312" w:hAnsi="仿宋_GB2312" w:cs="仿宋_GB2312" w:eastAsia="仿宋_GB2312"/>
              </w:rPr>
              <w:t>拟派项目负责人资质和专业要求：具有建筑工程专业二级及以上注册建造师执业资格，具有有效的安全生产考核合格证书（建安B证），在本单位注册，且未担任其他在建设工程项目的项目经理</w:t>
            </w:r>
          </w:p>
        </w:tc>
        <w:tc>
          <w:tcPr>
            <w:tcW w:type="dxa" w:w="1661"/>
          </w:tcPr>
          <w:p>
            <w:pPr>
              <w:pStyle w:val="null3"/>
            </w:pPr>
            <w:r>
              <w:rPr>
                <w:rFonts w:ascii="仿宋_GB2312" w:hAnsi="仿宋_GB2312" w:cs="仿宋_GB2312" w:eastAsia="仿宋_GB2312"/>
              </w:rPr>
              <w:t>项目管理机构组成表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磋商响应文件是否按照磋商文件要求的格式编写；磋商报价内容是否有重大缺漏项。</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磋商报价是否超过采购预算；磋商报价有效期是否符合磋商文件的要求；响应文件内容是否符合国家法律法规，没有重大偏离；对磋商文件中规定的要求是否做出了实质性响应。</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①施工方案与本项目结合极为紧密，内容详细、完整、全面，所有措施针对性极强，完全适配项目施工特点与招标人需求，可行性极高，计5分； ②施工方案与本项目结合紧密，内容比较完善，措施针对性较强，能够较好适配项目施工特点与招标人需求，整体可行，计4分； ③施工方案与本项目结合较为紧密，内容基本完善，具备一定针对性，能够适配项目施工特点与招标人需求，较为科学合理，计3分； ④施工方案与本项目结合程度一般，内容不够详细，针对性不足，能够适配项目施工需求，可行性一般，计2分； ⑤施工方案与本项目结合不够紧密，内容简单不够完善，针对性差，计2分； ⑥未与项目结合或未能提供方案的不计分。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w:t>
            </w:r>
          </w:p>
        </w:tc>
        <w:tc>
          <w:tcPr>
            <w:tcW w:type="dxa" w:w="2492"/>
          </w:tcPr>
          <w:p>
            <w:pPr>
              <w:pStyle w:val="null3"/>
            </w:pPr>
            <w:r>
              <w:rPr>
                <w:rFonts w:ascii="仿宋_GB2312" w:hAnsi="仿宋_GB2312" w:cs="仿宋_GB2312" w:eastAsia="仿宋_GB2312"/>
              </w:rPr>
              <w:t>除项目经理外，项目部还须配备专职的技术负责人、施工员、质量员、材料员、资料员、造价员、安全员等施工现场从业人员（不得身兼岗位），其中施工员要求为土建专业。 ①以上要求的现场从业人员配备齐全，且均具有专业能力的（以学历证书专业、土木建筑类职业资格证书、住房和城乡建设领域施工现场专业人员职业培训合格证书、建筑施工企业安管人员”安全生产考核合格证书等为参考）得8分，以上两点要求任一不符合的，得0分。 ②以上要求的现场从业人员中具有土木建筑类中级及以上职称的，每人加1分，最高加4分。 注：供应商同时参加两个采购标包的，项目部配备人员不得重复（含项目经理）。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①充分了解本项目的施工工期及招标人相关要求，特别突出明确针对本项目工期紧、施工任务重的相应工期保证措施，措施详细完善、科学合理，具有较强地针对性，能够切实匹配本项目施工，满足项目施工及招标人相关要求，计5分； ②较为了解本项目的施工工期及招标人相关要求，针对本项目工期紧、施工任务重特点的专项工期保证措施比较完善、科学合理，针对性较强，能够较好匹配本项目施工特点，较好满足项目施工及招标人相关要求，计4分； ③基本了解本项目的施工工期及招标人相关要求，针对本项目工期紧、施工任务重特点的专项工期保证措施基本完善、整体合理，具有一定针对性，能够匹配本项目施工特点，基本满足项目施工及招标人相关要求，计3分； ④对本项目施工工期及招标人相关要求了解程度一般，针对工期紧、施工任务重特点的专项工期保证措施完整性有所欠缺，合理性基本达标，针对性不足，基本能够匹配本项目施工特点，勉强满足最低要求，计2分； ⑤对本项目施工工期及招标人相关要求了解不足，针对工期紧、施工任务重特点的专项工期保证措施较为粗略，合理性存在一定欠缺，针对性较弱，仅能勉强匹配本项目施工基本需求，计1分； ⑥不符合工期要求或未能提供的不计分。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①充分了解本项目的施工情况及要求，安全生产保证措施详细完善、科学合理，具有较强地针对性，能够切实匹配本项目施工，满足项目施工及招标人相关要求，计5分； ②较为了解本项目的施工情况及要求，安全生产保证措施比较完善、科学合理，针对性较强，能够较好匹配本项目施工特点，较好满足项目施工及招标人相关要求，计4分； ③基本了解本项目的施工情况及要求，安全生产保证措施基本完善、整体合理，具有一定针对性，能够匹配本项目施工特点，基本满足项目施工及招标人相关要求，计3分； ④对本项目施工情况及要求了解程度一般，安全生产保证措施完整性有所欠缺，合理性基本达标，针对性不足，基本能够匹配本项目施工特点，勉强满足最低要求，计2分； ⑤对本项目施工情况及要求了解不足，安全生产保证措施较为粗略，合理性存在一定欠缺，针对性较弱，仅能勉强匹配本项目施工基本需求，计1分； ⑥不符合工期要求或未能提供的不计分。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确保质量保证措施</w:t>
            </w:r>
          </w:p>
        </w:tc>
        <w:tc>
          <w:tcPr>
            <w:tcW w:type="dxa" w:w="2492"/>
          </w:tcPr>
          <w:p>
            <w:pPr>
              <w:pStyle w:val="null3"/>
            </w:pPr>
            <w:r>
              <w:rPr>
                <w:rFonts w:ascii="仿宋_GB2312" w:hAnsi="仿宋_GB2312" w:cs="仿宋_GB2312" w:eastAsia="仿宋_GB2312"/>
              </w:rPr>
              <w:t>①充分了解本项目的施工情况及要求，质量保证措施详细完善、科学合理，具有较强地针对性，能够切实匹配本项目施工，满足项目施工及招标人相关要求，计5分； ②较为了解本项目的施工情况及要求，质量保证措施比较完善、科学合理，针对性较强，能够较好匹配本项目施工特点，较好满足项目施工及招标人相关要求，计4分； ③基本了解本项目的施工情况及要求，质量保证措施基本完善、整体合理，具有一定针对性，能够匹配本项目施工特点，基本满足项目施工及招标人相关要求，计3分； ④对本项目施工情况及要求了解程度一般，质量保证措施完整性有所欠缺，合理性基本达标，针对性不足，基本能够匹配本项目施工特点，勉强满足最低要求，计2分； ⑤对本项目施工情况及要求了解不足，质量保证措施较为粗略，合理性存在一定欠缺，针对性较弱，仅能勉强匹配本项目施工基本需求，计1分； ⑥措施与项目实际相符不符或未能提供措施的不计分。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文明、环保施工措施</w:t>
            </w:r>
          </w:p>
        </w:tc>
        <w:tc>
          <w:tcPr>
            <w:tcW w:type="dxa" w:w="2492"/>
          </w:tcPr>
          <w:p>
            <w:pPr>
              <w:pStyle w:val="null3"/>
            </w:pPr>
            <w:r>
              <w:rPr>
                <w:rFonts w:ascii="仿宋_GB2312" w:hAnsi="仿宋_GB2312" w:cs="仿宋_GB2312" w:eastAsia="仿宋_GB2312"/>
              </w:rPr>
              <w:t>①充分了解本项目的施工情况及招标人要求，文明施工及环境保护保证措施详细完善、科学合理，内容应涵盖（不限于）扬尘管控、噪声管控、建筑垃圾（含拆除垃圾）分类清运、污废水排放等内容，具有较强地针对性，能够切实匹配本项目施工，满足项目施工及招标人相关要求，计5分； ②较为了解本项目的施工情况及招标人要求，文明施工及环境保护保证措施比较完善、科学合理，基本覆盖扬尘管控、噪声管控、建筑垃圾（含拆除垃圾）分类清运、污废水排放等核心内容，针对性较强，能够较好匹配本项目施工特点，较好满足项目施工及招标人相关要求，计4分； ③基本了解本项目的施工情况及招标人要求，文明施工及环境保护保证措施基本完善、整体合理，覆盖大部分扬尘管控、噪声管控、建筑垃圾（含拆除垃圾）分类清运、污废水排放等核心内容，具有一定针对性，能够匹配本项目施工特点，基本满足项目施工及招标人相关要求，计3分； ④对本项目施工情况及招标人要求了解程度一般，文明施工及环境保护保证措施完整性有所欠缺，仅覆盖部分扬尘管控、噪声管控、建筑垃圾（含拆除垃圾）分类清运、污废水排放等核心内容，合理性基本达标，针对性不足，基本能够匹配本项目施工特点，勉强满足最低要求，计2分； ⑤对本项目施工情况及招标人要求了解不足，文明施工及环境保护保证措施较为粗略，仅覆盖少量扬尘管控、噪声管控、建筑垃圾（含拆除垃圾）分类清运、污废水排放等核心内容，合理性存在一定欠缺，针对性较弱，仅能勉强匹配本项目施工基本需求，计1分； ⑥措施与项目实际不符或未能提供措施的不计分。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①施工机械配备数量充足，类别齐全，且符合本项目施工需求，机械设备投入计划详细完善，科学合理，能够清晰体现进场时间、施工部位等，具有相应完善的配套管理制度；材料投入计划清晰、合理，按施工进度节点列明各阶段主材的进场批次、数量、验收标准；明确机械备用方案和材料应急补货渠道，可应对工期延误风险；所有计划均匹配本项目工期要求和施工需求，计5分； ②施工机械配备数量较为充足、类别基本齐全，较好符合本项目施工需求；机械设备投入计划较为完善、合理，基本能够体现进场时间、施工部位等关键信息，配套管理制度较为完善；材料投入计划较为清晰合理，基本按施工进度节点列明各阶段主材的进场批次、数量、验收标准；基本明确机械备用方案和材料应急补货渠道，能够应对一般工期延误风险；所有计划均较好匹配本项目工期要求和施工需求，计4分； ③施工机械配备数量基本充足、类别覆盖核心需求，基本符合本项目施工需求；机械设备投入计划基本完善、整体合理，能够体现主要设备的进场时间、施工部位，配套管理制度基本健全；材料投入计划基本清晰合理，能够列明主要阶段主材的进场批次、数量、验收标准；具备基本的机械备用方案和材料应急补货渠道，基本能够应对工期延误风险；所有计划均基本匹配本项目工期要求和施工需求，计3分； ④施工机械配备数量和类别基本满足最低施工需求，机械设备投入计划完整性有所欠缺，进场时间、施工部位等信息不够明确，配套管理制度不够完善；材料投入计划合理性一般，仅列明主要主材的进场安排，批次、数量、验收标准不够细化；机械备用方案和材料应急补货渠道有所欠缺，应对工期延误风险的能力不足；计划基本能够匹配本项目工期和施工的最低要求，计2分； ⑤施工机械配备数量和类别仅能勉强满足最低施工需求，机械设备投入计划较为粗略，缺少进场时间、施工部位等关键信息，配套管理制度不完善；材料投入计划不够清晰，仅列明主要主材名称，缺少进场批次、数量、验收标准等内容；未明确机械备用方案和材料应急补货渠道，难以应对工期延误风险；计划匹配本项目工期和施工需求的程度较差，计1分； ⑥投入计划与项目实际不符或未能提供方案的不计分。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拟投入本工程的主要施工设备表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针对学校特点减少对校内正常活动的施工举措</w:t>
            </w:r>
          </w:p>
        </w:tc>
        <w:tc>
          <w:tcPr>
            <w:tcW w:type="dxa" w:w="2492"/>
          </w:tcPr>
          <w:p>
            <w:pPr>
              <w:pStyle w:val="null3"/>
            </w:pPr>
            <w:r>
              <w:rPr>
                <w:rFonts w:ascii="仿宋_GB2312" w:hAnsi="仿宋_GB2312" w:cs="仿宋_GB2312" w:eastAsia="仿宋_GB2312"/>
              </w:rPr>
              <w:t>①充分结合高校项目特点，降噪管控、降尘污染管控、通行安全管控、特殊时段适配等各类防控措施全面完善、科学合理，针对性极强，可有效避免施工对校内正常活动的影响，完全满足招标人要求，计5分； ②较好结合高校项目特点，各类防控措施较为完善、合理，针对性较强，能够较好避免施工对校内正常活动的影响，较好满足招标人要求，计4分； ③基本结合高校项目特点，核心防控措施基本完善、整体合理，具备一定针对性，能够基本避免施工对校内正常活动的影响，基本满足招标人要求，计3分； ④对高校项目特点有所考虑，核心防控措施完整性有所欠缺，合理性基本达标，针对性不足，基本能够避免施工对校内主要活动的影响，勉强满足最低要，计2分 ⑤对高校项目特点考虑不足，防控措施较为粗略，合理性存在一定欠缺，针对性较弱，仅能勉强避免施工对校内核心活动的影响，计1分 ⑥未与高校特点结合的或未能提供措施的不计分。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项目进展情况汇报、沟通措施</w:t>
            </w:r>
          </w:p>
        </w:tc>
        <w:tc>
          <w:tcPr>
            <w:tcW w:type="dxa" w:w="2492"/>
          </w:tcPr>
          <w:p>
            <w:pPr>
              <w:pStyle w:val="null3"/>
            </w:pPr>
            <w:r>
              <w:rPr>
                <w:rFonts w:ascii="仿宋_GB2312" w:hAnsi="仿宋_GB2312" w:cs="仿宋_GB2312" w:eastAsia="仿宋_GB2312"/>
              </w:rPr>
              <w:t>①汇报沟通措施，详细具体，有相关完善科学的制度规范，具体措施内容科学合理，针对性强，能够很好地适用本项目，计5分； ②汇报沟通措施较为详细，具备基本的制度规范，措施内容较为合理、针对性较强，能够较好适配本项目管理需求，可保障各方信息基本顺畅传递，计4分； ③汇报沟通措施完整性一般，制度规范不够完善，措施内容合理性、针对性存在一定不足，基本能够适配本项目最低管理需求，计3分； ④措施仅为通用表述、无针对性，无法满足本项目管理需求，计2分； ⑤措施不够完善，可行性较差的，计1分； ⑥未能提供措施的不计分。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供应商近三年（2023年1月1日起至今，以合同签订日期为准），具有建筑工程装修、或改造施工项目业绩，每有1项得2分，最高得10分。 注：提供合同复印件，加盖供应商公章，否则不计分。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供应商拟派项目经理（2023年1月1日起至今，以合同签订日期为准），具有具有建筑工程装修、或改造施工项目业绩（在项目中担任项目经理），每有1项得3分，最高得9分。 注：提供合同复印件，且合同中明确体现项目经理姓名，加盖供应商公章，否则不计分。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质量保修</w:t>
            </w:r>
          </w:p>
        </w:tc>
        <w:tc>
          <w:tcPr>
            <w:tcW w:type="dxa" w:w="2492"/>
          </w:tcPr>
          <w:p>
            <w:pPr>
              <w:pStyle w:val="null3"/>
            </w:pPr>
            <w:r>
              <w:rPr>
                <w:rFonts w:ascii="仿宋_GB2312" w:hAnsi="仿宋_GB2312" w:cs="仿宋_GB2312" w:eastAsia="仿宋_GB2312"/>
              </w:rPr>
              <w:t>供应商针对本项目在质量保修期内如出现质量问题的解决措施、解决问题的响应时效等进行说明： ①质量问题处置机制详细完善，对于具体质量问题的专项处置流程详细完备、有明确的修复工艺标准和验收要求，对于响应时效、增值服务等能够做出切实可行、满足招标人及项目切实要求的具体承诺，计4分； ②质量问题处置机制较为完善，针对主要质量问题的专项处置流程较为完备，修复工艺标准和验收要求基本明确；响应时效、增值服务等承诺较为合理，能够较好满足招标人及项目实际需求，针对性较强，计3分； ③质量问题处置机制基本完善，针对核心质量问题的专项处置流程基本完备，有基本的修复工艺标准和验收要求；响应时效、增值服务等承诺基本合理，能够满足招标人及项目基本需求，具备一定针对性，计2分； ④质量问题处置机制完整性一般，专项处置流程不够细化，修复工艺标准和验收要求不够明确；响应时效、增值服务等承诺合理性一般，基本能够满足招标人及项目最低需求，针对性不足，计1分； ⑤解决措施和响应时效等脱离项目实际，或未能提供的不计分。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供应商拟投入本项目所使用的施工主要材料中的产品属于政府采购优先采购范围的，则每有一项为节能产品或者环境标志产品的得0.5分，非节能、环境标志产品的不得分。本项最多得2分。 注：属于优先采购范围内的节能产品或者环境标志产品的，提供国家确定的认证机构出具的、处于有效期之内的节能产品、环境标志产品认证证书复印件加盖供应商公章（鲜章）。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主要材料要求</w:t>
            </w:r>
          </w:p>
        </w:tc>
        <w:tc>
          <w:tcPr>
            <w:tcW w:type="dxa" w:w="2492"/>
          </w:tcPr>
          <w:p>
            <w:pPr>
              <w:pStyle w:val="null3"/>
            </w:pPr>
            <w:r>
              <w:rPr>
                <w:rFonts w:ascii="仿宋_GB2312" w:hAnsi="仿宋_GB2312" w:cs="仿宋_GB2312" w:eastAsia="仿宋_GB2312"/>
              </w:rPr>
              <w:t>供应商需针对本项目按要求提供主材清单（清单内容包括但不限于材料名称、品牌、规格、材质等）及主材检测报告、技术参数性能证明材料等资料，根据提供内容的完整程度进行综合评分： ①提供主材技术参数性能优于采购人要求的，计3分； ②提供主材技术参数性能符合采购人要求的，计2分； ③提供主材技术参数性能不满足采购人要求的，计0分。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以最终报价进行评审。 1.最低评审价为评审基准价，得20分。 2.按（评审基准价/评审价）×20的公式计算价格得分。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详见附件：诚信声明</w:t>
      </w:r>
    </w:p>
    <w:p>
      <w:pPr>
        <w:pStyle w:val="null3"/>
        <w:ind w:firstLine="960"/>
      </w:pPr>
      <w:r>
        <w:rPr>
          <w:rFonts w:ascii="仿宋_GB2312" w:hAnsi="仿宋_GB2312" w:cs="仿宋_GB2312" w:eastAsia="仿宋_GB2312"/>
        </w:rPr>
        <w:t>详见附件：法人代表授权书</w:t>
      </w:r>
    </w:p>
    <w:p>
      <w:pPr>
        <w:pStyle w:val="null3"/>
        <w:ind w:firstLine="960"/>
      </w:pPr>
      <w:r>
        <w:rPr>
          <w:rFonts w:ascii="仿宋_GB2312" w:hAnsi="仿宋_GB2312" w:cs="仿宋_GB2312" w:eastAsia="仿宋_GB2312"/>
        </w:rPr>
        <w:t>详见附件：供应商无重大违法记录的书面声明格式</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详见附件：拟投入本工程的主要施工设备表</w:t>
      </w:r>
    </w:p>
    <w:p>
      <w:pPr>
        <w:pStyle w:val="null3"/>
        <w:ind w:firstLine="960"/>
      </w:pPr>
      <w:r>
        <w:rPr>
          <w:rFonts w:ascii="仿宋_GB2312" w:hAnsi="仿宋_GB2312" w:cs="仿宋_GB2312" w:eastAsia="仿宋_GB2312"/>
        </w:rPr>
        <w:t>详见附件：磋商报价方案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