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版本号：ZC-HXCT2026-05120260715001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移动检务系统服务项目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ZC-HXCT2026-051</w:t>
      </w:r>
      <w:r>
        <w:br/>
      </w:r>
      <w:r>
        <w:br/>
      </w:r>
      <w:r>
        <w:br/>
      </w:r>
    </w:p>
    <w:p>
      <w:pPr>
        <w:pStyle w:val="null3"/>
        <w:jc w:val="center"/>
        <w:outlineLvl w:val="2"/>
      </w:pPr>
      <w:r>
        <w:rPr>
          <w:rFonts w:ascii="仿宋_GB2312" w:hAnsi="仿宋_GB2312" w:cs="仿宋_GB2312" w:eastAsia="仿宋_GB2312"/>
          <w:sz w:val="28"/>
          <w:b/>
        </w:rPr>
        <w:t>安康铁路运输检察院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安康铁路运输检察院</w:t>
      </w:r>
      <w:r>
        <w:rPr>
          <w:rFonts w:ascii="仿宋_GB2312" w:hAnsi="仿宋_GB2312" w:cs="仿宋_GB2312" w:eastAsia="仿宋_GB2312"/>
        </w:rPr>
        <w:t>委托，拟对</w:t>
      </w:r>
      <w:r>
        <w:rPr>
          <w:rFonts w:ascii="仿宋_GB2312" w:hAnsi="仿宋_GB2312" w:cs="仿宋_GB2312" w:eastAsia="仿宋_GB2312"/>
        </w:rPr>
        <w:t>移动检务系统服务项目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ZC-HXCT2026-051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移动检务系统服务项目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移动信息化已成为时代发展的重要趋势，传统的固定办公室办公、办案模式，限制了工作人员办事的灵活性，阻碍了办事效率。同时，工作的移动性越来越高，外出越来越频繁，对信息的接收及响应难免会出现滞后，而重要信息的时效性安全性要求又很高。因此，在保证业务应用安全的前提下，使信息能够覆盖移动通信网络通达的任何地方，检察干警可在任何时间、任何地点处理与办公办案相关的任何事情，从而提高检察干警的工作效率和质量，提升为人民服务的能力和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或单位负责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2、法定代表人授权委托书：法定代表人或负责人参加投标时，提供本人身份证复印件；授权代表参加投标时，提供法定代表人或负责人授权书、被授权人身份证复印件</w:t>
      </w:r>
    </w:p>
    <w:p>
      <w:pPr>
        <w:pStyle w:val="null3"/>
      </w:pPr>
      <w:r>
        <w:rPr>
          <w:rFonts w:ascii="仿宋_GB2312" w:hAnsi="仿宋_GB2312" w:cs="仿宋_GB2312" w:eastAsia="仿宋_GB2312"/>
        </w:rPr>
        <w:t>3、税收缴纳证明：税收缴纳证明：提供截止至招标时间前一年内1个月的纳税证明或完税证明，纳税证明或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4、社会保障资金缴纳证明：社会保障资金缴纳证明：提供截止至招标时间前一年内1个月的社会保障资金缴存单据或社保机构开具的社会保险参保缴费情况证明，单据或证明上应有社保机构或代收机构的公章或业务专用章，新成立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5、具有履行合同所必需的设备和专业技术能力：具有履行合同所必需的设备和专业技术能力的证明材料（提供自述材料）</w:t>
      </w:r>
    </w:p>
    <w:p>
      <w:pPr>
        <w:pStyle w:val="null3"/>
      </w:pPr>
      <w:r>
        <w:rPr>
          <w:rFonts w:ascii="仿宋_GB2312" w:hAnsi="仿宋_GB2312" w:cs="仿宋_GB2312" w:eastAsia="仿宋_GB2312"/>
        </w:rPr>
        <w:t>6、财务状况报告：提供2025年度经审计的财务报告（成立时间至提交响应文件截止时间不足一年的可提供成立后任意时段的资产负债表），或其开标前三个月内银行出具的资信证明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7、主体信用查询记录：供应商通过“信用中国”网站（www.creditchina.gov.cn）和中国政府采购网（www.ccgp.gov.cn）等渠道查询相关主体信用记录，对列入失信被执行人、重大税收违法案件当事人名单（或重大税收违法失信主体名单）、政府采购严重违法失信行为记录名单的供应商，将拒绝其参与政府采购活动</w:t>
      </w:r>
    </w:p>
    <w:p>
      <w:pPr>
        <w:pStyle w:val="null3"/>
      </w:pPr>
      <w:r>
        <w:rPr>
          <w:rFonts w:ascii="仿宋_GB2312" w:hAnsi="仿宋_GB2312" w:cs="仿宋_GB2312" w:eastAsia="仿宋_GB2312"/>
        </w:rPr>
        <w:t>8、无重大违法记录的书面声明：参加本次政府采购活动前三年内在经营活动中没有重大违纪，以及未被列入失信被执行人、重大税收违法案件当事人名单（或重大税收违法失信主体名单）、政府采购严重违法失信行为记录名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9、控股关系：单位负责人为同一人或者存在直接控股、管理关系的不同供应商，不得参加同一合同项下的政府采购活动（需提供声明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安康铁路运输检察院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陕西省安康市汉滨区江北大道80号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15709250699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安康市城市风景小区1号楼北侧天地共享超市六楼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李文雯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0915-3220051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开户名称：华夏城投项目管理有限公司金州分公司</w:t>
            </w:r>
          </w:p>
          <w:p>
            <w:pPr>
              <w:pStyle w:val="null3"/>
            </w:pPr>
            <w:r>
              <w:rPr>
                <w:rFonts w:ascii="仿宋_GB2312" w:hAnsi="仿宋_GB2312" w:cs="仿宋_GB2312" w:eastAsia="仿宋_GB2312"/>
              </w:rPr>
              <w:t>开户银行：中国工商银行股份有限公司安康解放路支行</w:t>
            </w:r>
          </w:p>
          <w:p>
            <w:pPr>
              <w:pStyle w:val="null3"/>
            </w:pPr>
            <w:r>
              <w:rPr>
                <w:rFonts w:ascii="仿宋_GB2312" w:hAnsi="仿宋_GB2312" w:cs="仿宋_GB2312" w:eastAsia="仿宋_GB2312"/>
              </w:rPr>
              <w:t>银行账号：2607065009200283549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代理服务费收费标准：参考《招标代理服务收费管理暂行办法》（计价格[2002]1980号）规定标准及市场调节价收取，由成交单位在领取成交通知书前一次性向招标代理机构支付代理服务费。 华夏城投项目管理有限公司金州分公司 税号：91610902MAB2Y68H0A 地址、电话：安康市汉滨区新城街道办事处陈家沟村六组281号0915-3220051 开户行及账号： 中国工商银行股份有限公司安康解放路支行2607065009200283549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安康铁路运输检察院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安康铁路运输检察院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安康铁路运输检察院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各项指标均应符合相关法律、法规、规章、技术标准和合同。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联系人：李文雯</w:t>
      </w:r>
    </w:p>
    <w:p>
      <w:pPr>
        <w:pStyle w:val="null3"/>
      </w:pPr>
      <w:r>
        <w:rPr>
          <w:rFonts w:ascii="仿宋_GB2312" w:hAnsi="仿宋_GB2312" w:cs="仿宋_GB2312" w:eastAsia="仿宋_GB2312"/>
        </w:rPr>
        <w:t>联系电话：0915-3220051</w:t>
      </w:r>
    </w:p>
    <w:p>
      <w:pPr>
        <w:pStyle w:val="null3"/>
      </w:pPr>
      <w:r>
        <w:rPr>
          <w:rFonts w:ascii="仿宋_GB2312" w:hAnsi="仿宋_GB2312" w:cs="仿宋_GB2312" w:eastAsia="仿宋_GB2312"/>
        </w:rPr>
        <w:t>地址：安康市城市风景小区1号楼北侧天地共享超市六楼</w:t>
      </w:r>
    </w:p>
    <w:p>
      <w:pPr>
        <w:pStyle w:val="null3"/>
      </w:pPr>
      <w:r>
        <w:rPr>
          <w:rFonts w:ascii="仿宋_GB2312" w:hAnsi="仿宋_GB2312" w:cs="仿宋_GB2312" w:eastAsia="仿宋_GB2312"/>
        </w:rPr>
        <w:t>邮编：725000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移动检务系统建设包括基础服务、应用服务、安全服务、维修服务、通信服务等内容。硬件为双系统国产移动终端，通过容器技术进行系统级划分，实现检察工作网与互联网独立运行、物理隔离。系统接入省级安全交换平台，预制相关软件，直接访问工作网办公OA系统，实现文件阅办、签发、事项审批等功能，满足出差及离开单位外出人员能够实时与工作网交换信息，紧急事务随时处理，提高工作效率。该系统具备安全可控、自主算法的信息加密、文档加密，确保信息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移动检务OA办公系统服务项目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标的名称：移动检务OA办公系统服务项目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254"/>
              <w:gridCol w:w="355"/>
              <w:gridCol w:w="483"/>
              <w:gridCol w:w="492"/>
              <w:gridCol w:w="228"/>
              <w:gridCol w:w="219"/>
              <w:gridCol w:w="311"/>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25"/>
                  </w:pPr>
                  <w:r>
                    <w:rPr>
                      <w:rFonts w:ascii="仿宋_GB2312" w:hAnsi="仿宋_GB2312" w:cs="仿宋_GB2312" w:eastAsia="仿宋_GB2312"/>
                      <w:sz w:val="22"/>
                    </w:rPr>
                    <w:t>序</w:t>
                  </w:r>
                  <w:r>
                    <w:rPr>
                      <w:rFonts w:ascii="仿宋_GB2312" w:hAnsi="仿宋_GB2312" w:cs="仿宋_GB2312" w:eastAsia="仿宋_GB2312"/>
                    </w:rPr>
                    <w:t xml:space="preserve"> </w:t>
                  </w:r>
                  <w:r>
                    <w:rPr>
                      <w:rFonts w:ascii="仿宋_GB2312" w:hAnsi="仿宋_GB2312" w:cs="仿宋_GB2312" w:eastAsia="仿宋_GB2312"/>
                      <w:sz w:val="22"/>
                    </w:rPr>
                    <w:t>号</w:t>
                  </w:r>
                </w:p>
              </w:tc>
              <w:tc>
                <w:tcPr>
                  <w:tcW w:type="dxa" w:w="2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分类</w:t>
                  </w:r>
                </w:p>
              </w:tc>
              <w:tc>
                <w:tcPr>
                  <w:tcW w:type="dxa" w:w="3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服务项目</w:t>
                  </w:r>
                </w:p>
              </w:tc>
              <w:tc>
                <w:tcPr>
                  <w:tcW w:type="dxa" w:w="4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服务简介</w:t>
                  </w:r>
                </w:p>
              </w:tc>
              <w:tc>
                <w:tcPr>
                  <w:tcW w:type="dxa" w:w="4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主要成果、文档</w:t>
                  </w:r>
                </w:p>
              </w:tc>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80" w:right="150"/>
                  </w:pPr>
                  <w:r>
                    <w:rPr>
                      <w:rFonts w:ascii="仿宋_GB2312" w:hAnsi="仿宋_GB2312" w:cs="仿宋_GB2312" w:eastAsia="仿宋_GB2312"/>
                      <w:sz w:val="22"/>
                    </w:rPr>
                    <w:t>服务</w:t>
                  </w:r>
                  <w:r>
                    <w:rPr>
                      <w:rFonts w:ascii="仿宋_GB2312" w:hAnsi="仿宋_GB2312" w:cs="仿宋_GB2312" w:eastAsia="仿宋_GB2312"/>
                      <w:sz w:val="22"/>
                    </w:rPr>
                    <w:t>时间</w:t>
                  </w:r>
                </w:p>
              </w:tc>
              <w:tc>
                <w:tcPr>
                  <w:tcW w:type="dxa" w:w="2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数量</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备注</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1</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基础服务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移动终端</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210"/>
                    <w:jc w:val="both"/>
                  </w:pPr>
                  <w:r>
                    <w:rPr>
                      <w:rFonts w:ascii="仿宋_GB2312" w:hAnsi="仿宋_GB2312" w:cs="仿宋_GB2312" w:eastAsia="仿宋_GB2312"/>
                      <w:sz w:val="22"/>
                    </w:rPr>
                    <w:t>按终端接入数提供</w:t>
                  </w:r>
                  <w:r>
                    <w:rPr>
                      <w:rFonts w:ascii="仿宋_GB2312" w:hAnsi="仿宋_GB2312" w:cs="仿宋_GB2312" w:eastAsia="仿宋_GB2312"/>
                      <w:sz w:val="22"/>
                    </w:rPr>
                    <w:t>3年服务，满足全员干警移动端办公、通讯等日常办公需求。</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定制双系统移动终端</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3</w:t>
                  </w:r>
                  <w:r>
                    <w:rPr>
                      <w:rFonts w:ascii="仿宋_GB2312" w:hAnsi="仿宋_GB2312" w:cs="仿宋_GB2312" w:eastAsia="仿宋_GB2312"/>
                    </w:rPr>
                    <w:t xml:space="preserve"> </w:t>
                  </w:r>
                  <w:r>
                    <w:rPr>
                      <w:rFonts w:ascii="仿宋_GB2312" w:hAnsi="仿宋_GB2312" w:cs="仿宋_GB2312" w:eastAsia="仿宋_GB2312"/>
                      <w:sz w:val="22"/>
                    </w:rPr>
                    <w:t>年</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55</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jc w:val="both"/>
                  </w:pPr>
                  <w:r>
                    <w:rPr>
                      <w:rFonts w:ascii="仿宋_GB2312" w:hAnsi="仿宋_GB2312" w:cs="仿宋_GB2312" w:eastAsia="仿宋_GB2312"/>
                      <w:sz w:val="22"/>
                    </w:rPr>
                    <w:t>双系统终身质</w:t>
                  </w:r>
                  <w:r>
                    <w:rPr>
                      <w:rFonts w:ascii="仿宋_GB2312" w:hAnsi="仿宋_GB2312" w:cs="仿宋_GB2312" w:eastAsia="仿宋_GB2312"/>
                      <w:sz w:val="22"/>
                    </w:rPr>
                    <w:t>保</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2</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应用服务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移动办公</w:t>
                  </w:r>
                  <w:r>
                    <w:rPr>
                      <w:rFonts w:ascii="仿宋_GB2312" w:hAnsi="仿宋_GB2312" w:cs="仿宋_GB2312" w:eastAsia="仿宋_GB2312"/>
                      <w:sz w:val="22"/>
                    </w:rPr>
                    <w:t>服务</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210"/>
                    <w:jc w:val="both"/>
                  </w:pPr>
                  <w:r>
                    <w:rPr>
                      <w:rFonts w:ascii="仿宋_GB2312" w:hAnsi="仿宋_GB2312" w:cs="仿宋_GB2312" w:eastAsia="仿宋_GB2312"/>
                      <w:sz w:val="22"/>
                    </w:rPr>
                    <w:t>移动办公（</w:t>
                  </w:r>
                  <w:r>
                    <w:rPr>
                      <w:rFonts w:ascii="仿宋_GB2312" w:hAnsi="仿宋_GB2312" w:cs="仿宋_GB2312" w:eastAsia="仿宋_GB2312"/>
                      <w:sz w:val="22"/>
                    </w:rPr>
                    <w:t>OA）即时通讯视频会议</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即时通讯、公文审批、日程会议管理、视频会议等日常办公应用。</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3</w:t>
                  </w:r>
                  <w:r>
                    <w:rPr>
                      <w:rFonts w:ascii="仿宋_GB2312" w:hAnsi="仿宋_GB2312" w:cs="仿宋_GB2312" w:eastAsia="仿宋_GB2312"/>
                    </w:rPr>
                    <w:t xml:space="preserve"> </w:t>
                  </w:r>
                  <w:r>
                    <w:rPr>
                      <w:rFonts w:ascii="仿宋_GB2312" w:hAnsi="仿宋_GB2312" w:cs="仿宋_GB2312" w:eastAsia="仿宋_GB2312"/>
                      <w:sz w:val="22"/>
                    </w:rPr>
                    <w:t>年</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55</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3</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安全</w:t>
                  </w:r>
                  <w:r>
                    <w:rPr>
                      <w:rFonts w:ascii="仿宋_GB2312" w:hAnsi="仿宋_GB2312" w:cs="仿宋_GB2312" w:eastAsia="仿宋_GB2312"/>
                      <w:sz w:val="22"/>
                    </w:rPr>
                    <w:t>服务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2"/>
                    </w:rPr>
                    <w:t>数据安全</w:t>
                  </w:r>
                  <w:r>
                    <w:rPr>
                      <w:rFonts w:ascii="仿宋_GB2312" w:hAnsi="仿宋_GB2312" w:cs="仿宋_GB2312" w:eastAsia="仿宋_GB2312"/>
                      <w:sz w:val="22"/>
                    </w:rPr>
                    <w:t>交换平台</w:t>
                  </w:r>
                  <w:r>
                    <w:rPr>
                      <w:rFonts w:ascii="仿宋_GB2312" w:hAnsi="仿宋_GB2312" w:cs="仿宋_GB2312" w:eastAsia="仿宋_GB2312"/>
                      <w:sz w:val="22"/>
                    </w:rPr>
                    <w:t>服务</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135"/>
                    <w:jc w:val="both"/>
                  </w:pPr>
                  <w:r>
                    <w:rPr>
                      <w:rFonts w:ascii="仿宋_GB2312" w:hAnsi="仿宋_GB2312" w:cs="仿宋_GB2312" w:eastAsia="仿宋_GB2312"/>
                      <w:sz w:val="22"/>
                    </w:rPr>
                    <w:t>空中发证、</w:t>
                  </w:r>
                  <w:r>
                    <w:rPr>
                      <w:rFonts w:ascii="仿宋_GB2312" w:hAnsi="仿宋_GB2312" w:cs="仿宋_GB2312" w:eastAsia="仿宋_GB2312"/>
                      <w:sz w:val="22"/>
                    </w:rPr>
                    <w:t>终端管控</w:t>
                  </w:r>
                  <w:r>
                    <w:rPr>
                      <w:rFonts w:ascii="仿宋_GB2312" w:hAnsi="仿宋_GB2312" w:cs="仿宋_GB2312" w:eastAsia="仿宋_GB2312"/>
                      <w:sz w:val="22"/>
                    </w:rPr>
                    <w:t>（</w:t>
                  </w:r>
                  <w:r>
                    <w:rPr>
                      <w:rFonts w:ascii="仿宋_GB2312" w:hAnsi="仿宋_GB2312" w:cs="仿宋_GB2312" w:eastAsia="仿宋_GB2312"/>
                      <w:sz w:val="22"/>
                    </w:rPr>
                    <w:t>MDM</w:t>
                  </w:r>
                  <w:r>
                    <w:rPr>
                      <w:rFonts w:ascii="仿宋_GB2312" w:hAnsi="仿宋_GB2312" w:cs="仿宋_GB2312" w:eastAsia="仿宋_GB2312"/>
                      <w:sz w:val="22"/>
                    </w:rPr>
                    <w:t>）等</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2"/>
                    </w:rPr>
                    <w:t>数据安全管理</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3</w:t>
                  </w:r>
                  <w:r>
                    <w:rPr>
                      <w:rFonts w:ascii="仿宋_GB2312" w:hAnsi="仿宋_GB2312" w:cs="仿宋_GB2312" w:eastAsia="仿宋_GB2312"/>
                    </w:rPr>
                    <w:t xml:space="preserve"> </w:t>
                  </w:r>
                  <w:r>
                    <w:rPr>
                      <w:rFonts w:ascii="仿宋_GB2312" w:hAnsi="仿宋_GB2312" w:cs="仿宋_GB2312" w:eastAsia="仿宋_GB2312"/>
                      <w:sz w:val="22"/>
                    </w:rPr>
                    <w:t>年</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55</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4</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维修</w:t>
                  </w:r>
                  <w:r>
                    <w:rPr>
                      <w:rFonts w:ascii="仿宋_GB2312" w:hAnsi="仿宋_GB2312" w:cs="仿宋_GB2312" w:eastAsia="仿宋_GB2312"/>
                      <w:sz w:val="22"/>
                    </w:rPr>
                    <w:t>服务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both"/>
                  </w:pPr>
                  <w:r>
                    <w:rPr>
                      <w:rFonts w:ascii="仿宋_GB2312" w:hAnsi="仿宋_GB2312" w:cs="仿宋_GB2312" w:eastAsia="仿宋_GB2312"/>
                      <w:sz w:val="22"/>
                    </w:rPr>
                    <w:t>终端硬件</w:t>
                  </w:r>
                  <w:r>
                    <w:rPr>
                      <w:rFonts w:ascii="仿宋_GB2312" w:hAnsi="仿宋_GB2312" w:cs="仿宋_GB2312" w:eastAsia="仿宋_GB2312"/>
                      <w:sz w:val="22"/>
                    </w:rPr>
                    <w:t>维修服务</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both"/>
                  </w:pPr>
                  <w:r>
                    <w:rPr>
                      <w:rFonts w:ascii="仿宋_GB2312" w:hAnsi="仿宋_GB2312" w:cs="仿宋_GB2312" w:eastAsia="仿宋_GB2312"/>
                      <w:sz w:val="22"/>
                    </w:rPr>
                    <w:t>1</w:t>
                  </w:r>
                  <w:r>
                    <w:rPr>
                      <w:rFonts w:ascii="仿宋_GB2312" w:hAnsi="仿宋_GB2312" w:cs="仿宋_GB2312" w:eastAsia="仿宋_GB2312"/>
                    </w:rPr>
                    <w:t xml:space="preserve"> </w:t>
                  </w:r>
                  <w:r>
                    <w:rPr>
                      <w:rFonts w:ascii="仿宋_GB2312" w:hAnsi="仿宋_GB2312" w:cs="仿宋_GB2312" w:eastAsia="仿宋_GB2312"/>
                      <w:sz w:val="22"/>
                    </w:rPr>
                    <w:t>年质保</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05"/>
                    <w:jc w:val="both"/>
                  </w:pPr>
                  <w:r>
                    <w:rPr>
                      <w:rFonts w:ascii="仿宋_GB2312" w:hAnsi="仿宋_GB2312" w:cs="仿宋_GB2312" w:eastAsia="仿宋_GB2312"/>
                      <w:sz w:val="22"/>
                    </w:rPr>
                    <w:t>7*24</w:t>
                  </w:r>
                  <w:r>
                    <w:rPr>
                      <w:rFonts w:ascii="仿宋_GB2312" w:hAnsi="仿宋_GB2312" w:cs="仿宋_GB2312" w:eastAsia="仿宋_GB2312"/>
                    </w:rPr>
                    <w:t xml:space="preserve"> </w:t>
                  </w:r>
                  <w:r>
                    <w:rPr>
                      <w:rFonts w:ascii="仿宋_GB2312" w:hAnsi="仿宋_GB2312" w:cs="仿宋_GB2312" w:eastAsia="仿宋_GB2312"/>
                      <w:sz w:val="22"/>
                    </w:rPr>
                    <w:t>小时技术支</w:t>
                  </w:r>
                  <w:r>
                    <w:rPr>
                      <w:rFonts w:ascii="仿宋_GB2312" w:hAnsi="仿宋_GB2312" w:cs="仿宋_GB2312" w:eastAsia="仿宋_GB2312"/>
                      <w:sz w:val="22"/>
                    </w:rPr>
                    <w:t>持热线</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rPr>
                    <w:t xml:space="preserve"> </w:t>
                  </w:r>
                  <w:r>
                    <w:rPr>
                      <w:rFonts w:ascii="仿宋_GB2312" w:hAnsi="仿宋_GB2312" w:cs="仿宋_GB2312" w:eastAsia="仿宋_GB2312"/>
                      <w:sz w:val="22"/>
                    </w:rPr>
                    <w:t>年</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55</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rPr>
                    <w:t xml:space="preserve"> </w:t>
                  </w:r>
                  <w:r>
                    <w:rPr>
                      <w:rFonts w:ascii="仿宋_GB2312" w:hAnsi="仿宋_GB2312" w:cs="仿宋_GB2312" w:eastAsia="仿宋_GB2312"/>
                      <w:sz w:val="22"/>
                    </w:rPr>
                    <w:t>年质</w:t>
                  </w:r>
                  <w:r>
                    <w:rPr>
                      <w:rFonts w:ascii="仿宋_GB2312" w:hAnsi="仿宋_GB2312" w:cs="仿宋_GB2312" w:eastAsia="仿宋_GB2312"/>
                      <w:sz w:val="22"/>
                    </w:rPr>
                    <w:t>保</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5</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通信服务</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通信语音数据服务</w:t>
                  </w:r>
                </w:p>
              </w:tc>
              <w:tc>
                <w:tcPr>
                  <w:tcW w:type="dxa" w:w="4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通信语音数据服务</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按终端接入数配置</w:t>
                  </w:r>
                  <w:r>
                    <w:rPr>
                      <w:rFonts w:ascii="仿宋_GB2312" w:hAnsi="仿宋_GB2312" w:cs="仿宋_GB2312" w:eastAsia="仿宋_GB2312"/>
                      <w:sz w:val="22"/>
                    </w:rPr>
                    <w:t>4G/5G安全双系统终端及配套资费，资费服务：1000分钟通话时长、80G流量等;满足检务专用安全办公及省级平台接入使用需求。</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3年</w:t>
                  </w:r>
                </w:p>
              </w:tc>
              <w:tc>
                <w:tcPr>
                  <w:tcW w:type="dxa" w:w="2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62</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通信套餐服务</w:t>
                  </w:r>
                </w:p>
              </w:tc>
            </w:tr>
          </w:tbl>
          <w:p>
            <w:pPr>
              <w:pStyle w:val="null3"/>
              <w:ind w:firstLine="640"/>
              <w:jc w:val="left"/>
            </w:pPr>
            <w:r>
              <w:rPr>
                <w:rFonts w:ascii="仿宋_GB2312" w:hAnsi="仿宋_GB2312" w:cs="仿宋_GB2312" w:eastAsia="仿宋_GB2312"/>
                <w:sz w:val="24"/>
                <w:b/>
              </w:rPr>
              <w:t>功能</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.双系统，两个操作系统运行在不同 ROM 空间，两个系统独立运行，完全隔离；两个系统的蓝牙、WIFI、NFC 等外设独立配置；任何一个系统不能删除、创建或控制另外一个系统；一个系统恢复出厂设置不影响另外一个系统；支持公共 APN 和专属 APN 同时接入、同时在线；当前系统能接收到另外一个系统的通知栏消息，但看不到数据。</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.支持基于芯片集成安全模块的加解密服务，并实现证书远程管理功能。</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.工作区蓝牙与WIFI热点由MDM 远程控制，不能随意开启，可通过蓝牙设备或 Mac地址白名单机制限制蓝牙尽可连接指定设备；支持连接有线键盘鼠标、投影仪等外部设备。</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.系统防Root，须定制双系统 ROM 包，禁止刷成普通版本；支持对终端在不拆机的情况下，擦除终端敏感数据，将定制系统版本回退成普通版本。</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.支持系统级全局水印功能，防止偷拍屏幕造成信息泄露，同时支持防截屏、防录屏。</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.系统预制运营商定制APN 接入点，只能通过 VPDN 接入专网做数据业务；APN 接入点中身份验证类型默认为 pap or chap，可修改。</w:t>
            </w:r>
          </w:p>
          <w:p>
            <w:pPr>
              <w:pStyle w:val="null3"/>
              <w:ind w:firstLine="420"/>
              <w:jc w:val="both"/>
            </w:pPr>
            <w:r>
              <w:rPr>
                <w:rFonts w:ascii="仿宋_GB2312" w:hAnsi="仿宋_GB2312" w:cs="仿宋_GB2312" w:eastAsia="仿宋_GB2312"/>
                <w:sz w:val="24"/>
              </w:rPr>
              <w:t>7</w:t>
            </w:r>
            <w:r>
              <w:rPr>
                <w:rFonts w:ascii="仿宋_GB2312" w:hAnsi="仿宋_GB2312" w:cs="仿宋_GB2312" w:eastAsia="仿宋_GB2312"/>
                <w:sz w:val="24"/>
              </w:rPr>
              <w:t>.支持通过互联网系统进行在线OTA升级服务。</w:t>
            </w:r>
          </w:p>
          <w:p>
            <w:pPr>
              <w:pStyle w:val="null3"/>
              <w:ind w:firstLine="420"/>
              <w:jc w:val="both"/>
            </w:pPr>
            <w:r>
              <w:rPr>
                <w:rFonts w:ascii="仿宋_GB2312" w:hAnsi="仿宋_GB2312" w:cs="仿宋_GB2312" w:eastAsia="仿宋_GB2312"/>
                <w:sz w:val="24"/>
              </w:rPr>
              <w:t>8</w:t>
            </w:r>
            <w:r>
              <w:rPr>
                <w:rFonts w:ascii="仿宋_GB2312" w:hAnsi="仿宋_GB2312" w:cs="仿宋_GB2312" w:eastAsia="仿宋_GB2312"/>
                <w:sz w:val="24"/>
              </w:rPr>
              <w:t>.提供不小于100M 的 5G 移动网络安全通道。</w:t>
            </w:r>
          </w:p>
          <w:p>
            <w:pPr>
              <w:pStyle w:val="null3"/>
              <w:ind w:firstLine="420"/>
              <w:jc w:val="both"/>
            </w:pPr>
            <w:r>
              <w:rPr>
                <w:rFonts w:ascii="仿宋_GB2312" w:hAnsi="仿宋_GB2312" w:cs="仿宋_GB2312" w:eastAsia="仿宋_GB2312"/>
                <w:sz w:val="24"/>
              </w:rPr>
              <w:t>9.处理器</w:t>
            </w:r>
            <w:r>
              <w:rPr>
                <w:rFonts w:ascii="仿宋_GB2312" w:hAnsi="仿宋_GB2312" w:cs="仿宋_GB2312" w:eastAsia="仿宋_GB2312"/>
                <w:sz w:val="24"/>
              </w:rPr>
              <w:t>：</w:t>
            </w:r>
            <w:r>
              <w:rPr>
                <w:rFonts w:ascii="仿宋_GB2312" w:hAnsi="仿宋_GB2312" w:cs="仿宋_GB2312" w:eastAsia="仿宋_GB2312"/>
                <w:sz w:val="24"/>
              </w:rPr>
              <w:t>CPU 核数≥八核，</w:t>
            </w:r>
            <w:r>
              <w:rPr>
                <w:rFonts w:ascii="仿宋_GB2312" w:hAnsi="仿宋_GB2312" w:cs="仿宋_GB2312" w:eastAsia="仿宋_GB2312"/>
                <w:sz w:val="24"/>
              </w:rPr>
              <w:t>国产芯片。</w:t>
            </w:r>
          </w:p>
          <w:p>
            <w:pPr>
              <w:pStyle w:val="null3"/>
              <w:ind w:firstLine="420"/>
              <w:jc w:val="both"/>
            </w:pPr>
            <w:r>
              <w:rPr>
                <w:rFonts w:ascii="仿宋_GB2312" w:hAnsi="仿宋_GB2312" w:cs="仿宋_GB2312" w:eastAsia="仿宋_GB2312"/>
                <w:sz w:val="24"/>
              </w:rPr>
              <w:t>10.操作系统：</w:t>
            </w:r>
            <w:r>
              <w:rPr>
                <w:rFonts w:ascii="仿宋_GB2312" w:hAnsi="仿宋_GB2312" w:cs="仿宋_GB2312" w:eastAsia="仿宋_GB2312"/>
                <w:sz w:val="24"/>
              </w:rPr>
              <w:t>国产操作系统</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11.</w:t>
            </w:r>
            <w:r>
              <w:rPr>
                <w:rFonts w:ascii="仿宋_GB2312" w:hAnsi="仿宋_GB2312" w:cs="仿宋_GB2312" w:eastAsia="仿宋_GB2312"/>
                <w:sz w:val="24"/>
              </w:rPr>
              <w:t>双卡双待，</w:t>
            </w:r>
            <w:r>
              <w:rPr>
                <w:rFonts w:ascii="仿宋_GB2312" w:hAnsi="仿宋_GB2312" w:cs="仿宋_GB2312" w:eastAsia="仿宋_GB2312"/>
                <w:sz w:val="24"/>
              </w:rPr>
              <w:t>5G 全网通，支持卫星通话</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12.</w:t>
            </w:r>
            <w:r>
              <w:rPr>
                <w:rFonts w:ascii="仿宋_GB2312" w:hAnsi="仿宋_GB2312" w:cs="仿宋_GB2312" w:eastAsia="仿宋_GB2312"/>
                <w:sz w:val="24"/>
              </w:rPr>
              <w:t>运行内存（</w:t>
            </w:r>
            <w:r>
              <w:rPr>
                <w:rFonts w:ascii="仿宋_GB2312" w:hAnsi="仿宋_GB2312" w:cs="仿宋_GB2312" w:eastAsia="仿宋_GB2312"/>
                <w:sz w:val="24"/>
              </w:rPr>
              <w:t>RAM） ≥12GB,机身内存（ROM） ≥256GB</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13.</w:t>
            </w:r>
            <w:r>
              <w:rPr>
                <w:rFonts w:ascii="仿宋_GB2312" w:hAnsi="仿宋_GB2312" w:cs="仿宋_GB2312" w:eastAsia="仿宋_GB2312"/>
                <w:sz w:val="24"/>
              </w:rPr>
              <w:t>屏幕尺寸</w:t>
            </w:r>
            <w:r>
              <w:rPr>
                <w:rFonts w:ascii="仿宋_GB2312" w:hAnsi="仿宋_GB2312" w:cs="仿宋_GB2312" w:eastAsia="仿宋_GB2312"/>
                <w:sz w:val="24"/>
              </w:rPr>
              <w:t>≥6.7 英寸,屏幕分辨率≥2688*1216。</w:t>
            </w:r>
          </w:p>
          <w:p>
            <w:pPr>
              <w:pStyle w:val="null3"/>
              <w:ind w:firstLine="420"/>
              <w:jc w:val="both"/>
            </w:pPr>
            <w:r>
              <w:rPr>
                <w:rFonts w:ascii="仿宋_GB2312" w:hAnsi="仿宋_GB2312" w:cs="仿宋_GB2312" w:eastAsia="仿宋_GB2312"/>
                <w:sz w:val="24"/>
              </w:rPr>
              <w:t>14.</w:t>
            </w:r>
            <w:r>
              <w:rPr>
                <w:rFonts w:ascii="仿宋_GB2312" w:hAnsi="仿宋_GB2312" w:cs="仿宋_GB2312" w:eastAsia="仿宋_GB2312"/>
                <w:sz w:val="24"/>
              </w:rPr>
              <w:t>后置摄像头总像素</w:t>
            </w:r>
            <w:r>
              <w:rPr>
                <w:rFonts w:ascii="仿宋_GB2312" w:hAnsi="仿宋_GB2312" w:cs="仿宋_GB2312" w:eastAsia="仿宋_GB2312"/>
                <w:sz w:val="24"/>
              </w:rPr>
              <w:t>≥1 亿像素，支持OIS 光学防抖</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15.</w:t>
            </w:r>
            <w:r>
              <w:rPr>
                <w:rFonts w:ascii="仿宋_GB2312" w:hAnsi="仿宋_GB2312" w:cs="仿宋_GB2312" w:eastAsia="仿宋_GB2312"/>
                <w:sz w:val="24"/>
              </w:rPr>
              <w:t>前置摄像头像素</w:t>
            </w:r>
            <w:r>
              <w:rPr>
                <w:rFonts w:ascii="仿宋_GB2312" w:hAnsi="仿宋_GB2312" w:cs="仿宋_GB2312" w:eastAsia="仿宋_GB2312"/>
                <w:sz w:val="24"/>
              </w:rPr>
              <w:t>≥1300 万像素（f/2.</w:t>
            </w:r>
            <w:r>
              <w:rPr>
                <w:rFonts w:ascii="仿宋_GB2312" w:hAnsi="仿宋_GB2312" w:cs="仿宋_GB2312" w:eastAsia="仿宋_GB2312"/>
                <w:sz w:val="24"/>
              </w:rPr>
              <w:t>0</w:t>
            </w:r>
            <w:r>
              <w:rPr>
                <w:rFonts w:ascii="仿宋_GB2312" w:hAnsi="仿宋_GB2312" w:cs="仿宋_GB2312" w:eastAsia="仿宋_GB2312"/>
                <w:sz w:val="24"/>
              </w:rPr>
              <w:t>光圈）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16.</w:t>
            </w:r>
            <w:r>
              <w:rPr>
                <w:rFonts w:ascii="仿宋_GB2312" w:hAnsi="仿宋_GB2312" w:cs="仿宋_GB2312" w:eastAsia="仿宋_GB2312"/>
                <w:sz w:val="24"/>
              </w:rPr>
              <w:t>支持</w:t>
            </w:r>
            <w:r>
              <w:rPr>
                <w:rFonts w:ascii="仿宋_GB2312" w:hAnsi="仿宋_GB2312" w:cs="仿宋_GB2312" w:eastAsia="仿宋_GB2312"/>
                <w:sz w:val="24"/>
              </w:rPr>
              <w:t>WLAN 热点、WLAN 直连、蓝牙、USB Type-C 等，支持 NFC</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17.</w:t>
            </w:r>
            <w:r>
              <w:rPr>
                <w:rFonts w:ascii="仿宋_GB2312" w:hAnsi="仿宋_GB2312" w:cs="仿宋_GB2312" w:eastAsia="仿宋_GB2312"/>
                <w:sz w:val="24"/>
              </w:rPr>
              <w:t>电池容量</w:t>
            </w:r>
            <w:r>
              <w:rPr>
                <w:rFonts w:ascii="仿宋_GB2312" w:hAnsi="仿宋_GB2312" w:cs="仿宋_GB2312" w:eastAsia="仿宋_GB2312"/>
                <w:sz w:val="24"/>
              </w:rPr>
              <w:t>≥5300mAh（典型值)，支持超级快充,支持无线充电；</w:t>
            </w:r>
          </w:p>
          <w:p>
            <w:pPr>
              <w:pStyle w:val="null3"/>
              <w:ind w:firstLine="420"/>
              <w:jc w:val="both"/>
            </w:pPr>
            <w:r>
              <w:rPr>
                <w:rFonts w:ascii="仿宋_GB2312" w:hAnsi="仿宋_GB2312" w:cs="仿宋_GB2312" w:eastAsia="仿宋_GB2312"/>
                <w:sz w:val="24"/>
              </w:rPr>
              <w:t>18.</w:t>
            </w:r>
            <w:r>
              <w:rPr>
                <w:rFonts w:ascii="仿宋_GB2312" w:hAnsi="仿宋_GB2312" w:cs="仿宋_GB2312" w:eastAsia="仿宋_GB2312"/>
                <w:sz w:val="24"/>
              </w:rPr>
              <w:t>防水防尘</w:t>
            </w:r>
            <w:r>
              <w:rPr>
                <w:rFonts w:ascii="仿宋_GB2312" w:hAnsi="仿宋_GB2312" w:cs="仿宋_GB2312" w:eastAsia="仿宋_GB2312"/>
                <w:sz w:val="24"/>
              </w:rPr>
              <w:t>≥IP68。</w:t>
            </w:r>
          </w:p>
          <w:p>
            <w:pPr>
              <w:pStyle w:val="null3"/>
              <w:ind w:firstLine="420"/>
              <w:jc w:val="both"/>
            </w:pPr>
            <w:r>
              <w:rPr>
                <w:rFonts w:ascii="仿宋_GB2312" w:hAnsi="仿宋_GB2312" w:cs="仿宋_GB2312" w:eastAsia="仿宋_GB2312"/>
                <w:sz w:val="24"/>
              </w:rPr>
              <w:t>19.</w:t>
            </w:r>
            <w:r>
              <w:rPr>
                <w:rFonts w:ascii="仿宋_GB2312" w:hAnsi="仿宋_GB2312" w:cs="仿宋_GB2312" w:eastAsia="仿宋_GB2312"/>
                <w:sz w:val="24"/>
              </w:rPr>
              <w:t>移动办公服务</w:t>
            </w:r>
          </w:p>
          <w:p>
            <w:pPr>
              <w:pStyle w:val="null3"/>
              <w:ind w:firstLine="420"/>
              <w:jc w:val="both"/>
            </w:pPr>
            <w:r>
              <w:rPr>
                <w:rFonts w:ascii="仿宋_GB2312" w:hAnsi="仿宋_GB2312" w:cs="仿宋_GB2312" w:eastAsia="仿宋_GB2312"/>
                <w:sz w:val="24"/>
              </w:rPr>
              <w:t>接入省级安全交换平台，按照终端接入数计算，包含三年服务。</w:t>
            </w:r>
          </w:p>
          <w:p>
            <w:pPr>
              <w:pStyle w:val="null3"/>
              <w:ind w:firstLine="420"/>
              <w:jc w:val="both"/>
            </w:pPr>
            <w:r>
              <w:rPr>
                <w:rFonts w:ascii="仿宋_GB2312" w:hAnsi="仿宋_GB2312" w:cs="仿宋_GB2312" w:eastAsia="仿宋_GB2312"/>
                <w:sz w:val="24"/>
              </w:rPr>
              <w:t>移动平台客户端：提供统一应用入口、统一消息提醒、组织通讯录、登录</w:t>
            </w:r>
            <w:r>
              <w:rPr>
                <w:rFonts w:ascii="仿宋_GB2312" w:hAnsi="仿宋_GB2312" w:cs="仿宋_GB2312" w:eastAsia="仿宋_GB2312"/>
                <w:sz w:val="24"/>
              </w:rPr>
              <w:t>/解锁应用、个人中心、自动更新等功能；</w:t>
            </w:r>
          </w:p>
          <w:p>
            <w:pPr>
              <w:pStyle w:val="null3"/>
              <w:ind w:firstLine="420"/>
              <w:jc w:val="both"/>
            </w:pPr>
            <w:r>
              <w:rPr>
                <w:rFonts w:ascii="仿宋_GB2312" w:hAnsi="仿宋_GB2312" w:cs="仿宋_GB2312" w:eastAsia="仿宋_GB2312"/>
                <w:sz w:val="24"/>
              </w:rPr>
              <w:t>即时消息：提供移动端即时通讯工具，便于全方位的沟通协作与协同办公，打通内部交流通道；</w:t>
            </w:r>
          </w:p>
          <w:p>
            <w:pPr>
              <w:pStyle w:val="null3"/>
              <w:ind w:firstLine="420"/>
              <w:jc w:val="both"/>
            </w:pPr>
            <w:r>
              <w:rPr>
                <w:rFonts w:ascii="仿宋_GB2312" w:hAnsi="仿宋_GB2312" w:cs="仿宋_GB2312" w:eastAsia="仿宋_GB2312"/>
                <w:sz w:val="24"/>
              </w:rPr>
              <w:t>公文管理：实现发文管理、收文管理、签报管理审批，公文收发件的查询查看；</w:t>
            </w:r>
          </w:p>
          <w:p>
            <w:pPr>
              <w:pStyle w:val="null3"/>
              <w:ind w:firstLine="420"/>
              <w:jc w:val="both"/>
            </w:pPr>
            <w:r>
              <w:rPr>
                <w:rFonts w:ascii="仿宋_GB2312" w:hAnsi="仿宋_GB2312" w:cs="仿宋_GB2312" w:eastAsia="仿宋_GB2312"/>
                <w:sz w:val="24"/>
              </w:rPr>
              <w:t>事务审批：实现移动端流程的审批，也可查询已办理的事务审批，并在移动端发起新的审批事务；</w:t>
            </w:r>
          </w:p>
          <w:p>
            <w:pPr>
              <w:pStyle w:val="null3"/>
              <w:ind w:firstLine="420"/>
              <w:jc w:val="both"/>
            </w:pPr>
            <w:r>
              <w:rPr>
                <w:rFonts w:ascii="仿宋_GB2312" w:hAnsi="仿宋_GB2312" w:cs="仿宋_GB2312" w:eastAsia="仿宋_GB2312"/>
                <w:sz w:val="24"/>
              </w:rPr>
              <w:t>信息管理：实现移动端信息头条查看、栏目内容管理、我的内容和信息审核功能，允许在移动端发布信息，编辑信息，对发布的信息进行审核等权限；</w:t>
            </w:r>
          </w:p>
          <w:p>
            <w:pPr>
              <w:pStyle w:val="null3"/>
              <w:ind w:firstLine="420"/>
              <w:jc w:val="both"/>
            </w:pPr>
            <w:r>
              <w:rPr>
                <w:rFonts w:ascii="仿宋_GB2312" w:hAnsi="仿宋_GB2312" w:cs="仿宋_GB2312" w:eastAsia="仿宋_GB2312"/>
                <w:sz w:val="24"/>
              </w:rPr>
              <w:t>日程管理：允许按照日历视图和列表视图查看日程，允许创建和编辑日程；实现我的日程、领导日程、下属日程、共享日程、</w:t>
            </w:r>
            <w:r>
              <w:rPr>
                <w:rFonts w:ascii="仿宋_GB2312" w:hAnsi="仿宋_GB2312" w:cs="仿宋_GB2312" w:eastAsia="仿宋_GB2312"/>
                <w:sz w:val="24"/>
              </w:rPr>
              <w:t>日程分类的查看；</w:t>
            </w:r>
          </w:p>
          <w:p>
            <w:pPr>
              <w:pStyle w:val="null3"/>
              <w:ind w:firstLine="420"/>
              <w:jc w:val="both"/>
            </w:pPr>
            <w:r>
              <w:rPr>
                <w:rFonts w:ascii="仿宋_GB2312" w:hAnsi="仿宋_GB2312" w:cs="仿宋_GB2312" w:eastAsia="仿宋_GB2312"/>
                <w:sz w:val="24"/>
              </w:rPr>
              <w:t>会议管理：实现会议通知，议题相关的审批、会议发布的相关审批，参会人可以方便在手机上对接收到的会议通知进行回执处理；</w:t>
            </w:r>
          </w:p>
          <w:p>
            <w:pPr>
              <w:pStyle w:val="null3"/>
              <w:ind w:firstLine="420"/>
              <w:jc w:val="both"/>
            </w:pPr>
            <w:r>
              <w:rPr>
                <w:rFonts w:ascii="仿宋_GB2312" w:hAnsi="仿宋_GB2312" w:cs="仿宋_GB2312" w:eastAsia="仿宋_GB2312"/>
                <w:sz w:val="24"/>
              </w:rPr>
              <w:t>轻阅读预览：提供移动端的版式文档在线预览功能；</w:t>
            </w:r>
          </w:p>
          <w:p>
            <w:pPr>
              <w:pStyle w:val="null3"/>
              <w:ind w:firstLine="420"/>
              <w:jc w:val="both"/>
            </w:pPr>
            <w:r>
              <w:rPr>
                <w:rFonts w:ascii="仿宋_GB2312" w:hAnsi="仿宋_GB2312" w:cs="仿宋_GB2312" w:eastAsia="仿宋_GB2312"/>
                <w:sz w:val="24"/>
              </w:rPr>
              <w:t>移动签批：实现原笔迹手写、签批、圈划。</w:t>
            </w:r>
          </w:p>
          <w:p>
            <w:pPr>
              <w:pStyle w:val="null3"/>
              <w:ind w:firstLine="420"/>
              <w:jc w:val="both"/>
            </w:pPr>
            <w:r>
              <w:rPr>
                <w:rFonts w:ascii="仿宋_GB2312" w:hAnsi="仿宋_GB2312" w:cs="仿宋_GB2312" w:eastAsia="仿宋_GB2312"/>
                <w:sz w:val="24"/>
              </w:rPr>
              <w:t>20.</w:t>
            </w:r>
            <w:r>
              <w:rPr>
                <w:rFonts w:ascii="仿宋_GB2312" w:hAnsi="仿宋_GB2312" w:cs="仿宋_GB2312" w:eastAsia="仿宋_GB2312"/>
                <w:sz w:val="24"/>
              </w:rPr>
              <w:t>数据安全交换平台服务</w:t>
            </w:r>
          </w:p>
          <w:p>
            <w:pPr>
              <w:pStyle w:val="null3"/>
              <w:ind w:firstLine="420"/>
              <w:jc w:val="both"/>
            </w:pPr>
            <w:r>
              <w:rPr>
                <w:rFonts w:ascii="仿宋_GB2312" w:hAnsi="仿宋_GB2312" w:cs="仿宋_GB2312" w:eastAsia="仿宋_GB2312"/>
                <w:sz w:val="24"/>
              </w:rPr>
              <w:t>20.1</w:t>
            </w:r>
            <w:r>
              <w:rPr>
                <w:rFonts w:ascii="仿宋_GB2312" w:hAnsi="仿宋_GB2312" w:cs="仿宋_GB2312" w:eastAsia="仿宋_GB2312"/>
                <w:sz w:val="24"/>
              </w:rPr>
              <w:t>终端安全管理（</w:t>
            </w:r>
            <w:r>
              <w:rPr>
                <w:rFonts w:ascii="仿宋_GB2312" w:hAnsi="仿宋_GB2312" w:cs="仿宋_GB2312" w:eastAsia="仿宋_GB2312"/>
                <w:sz w:val="24"/>
              </w:rPr>
              <w:t>MDM）系统授权</w:t>
            </w:r>
          </w:p>
          <w:p>
            <w:pPr>
              <w:pStyle w:val="null3"/>
              <w:ind w:firstLine="420"/>
              <w:jc w:val="both"/>
            </w:pPr>
            <w:r>
              <w:rPr>
                <w:rFonts w:ascii="仿宋_GB2312" w:hAnsi="仿宋_GB2312" w:cs="仿宋_GB2312" w:eastAsia="仿宋_GB2312"/>
                <w:sz w:val="24"/>
              </w:rPr>
              <w:t>接入省级安全交换平台，按照终端接入数计算，包含三年服务。实现终端资产管理、终端管控、应用分发、消息推送、双系统管理、外部接口等功能，并且要求支持双系统移动设备，在一台终端上将个人系统和安全工作系统分开进行管理，对安全工作系统需要进行终端管理、应用管理、外部接口等。</w:t>
            </w:r>
          </w:p>
          <w:p>
            <w:pPr>
              <w:pStyle w:val="null3"/>
              <w:ind w:firstLine="420"/>
              <w:jc w:val="both"/>
            </w:pPr>
            <w:r>
              <w:rPr>
                <w:rFonts w:ascii="仿宋_GB2312" w:hAnsi="仿宋_GB2312" w:cs="仿宋_GB2312" w:eastAsia="仿宋_GB2312"/>
                <w:sz w:val="24"/>
              </w:rPr>
              <w:t>20.2</w:t>
            </w:r>
            <w:r>
              <w:rPr>
                <w:rFonts w:ascii="仿宋_GB2312" w:hAnsi="仿宋_GB2312" w:cs="仿宋_GB2312" w:eastAsia="仿宋_GB2312"/>
                <w:sz w:val="24"/>
              </w:rPr>
              <w:t>数字证书认证及协同签名系统授权</w:t>
            </w:r>
          </w:p>
          <w:p>
            <w:pPr>
              <w:pStyle w:val="null3"/>
              <w:ind w:firstLine="420"/>
              <w:jc w:val="both"/>
            </w:pPr>
            <w:r>
              <w:rPr>
                <w:rFonts w:ascii="仿宋_GB2312" w:hAnsi="仿宋_GB2312" w:cs="仿宋_GB2312" w:eastAsia="仿宋_GB2312"/>
                <w:sz w:val="24"/>
              </w:rPr>
              <w:t>接入省级安全交换平台，按照终端接入数计算，包含三年服务。支持</w:t>
            </w:r>
            <w:r>
              <w:rPr>
                <w:rFonts w:ascii="仿宋_GB2312" w:hAnsi="仿宋_GB2312" w:cs="仿宋_GB2312" w:eastAsia="仿宋_GB2312"/>
                <w:sz w:val="24"/>
              </w:rPr>
              <w:t>PC、移动端发证，支持空中发证模式，负责采集用户终端信息、发起证书操作请求、解析证书操作响应和调用密码模块，实现移动办公证书的各项管理功能。</w:t>
            </w:r>
          </w:p>
          <w:p>
            <w:pPr>
              <w:pStyle w:val="null3"/>
              <w:ind w:firstLine="420"/>
              <w:jc w:val="both"/>
            </w:pPr>
            <w:r>
              <w:rPr>
                <w:rFonts w:ascii="仿宋_GB2312" w:hAnsi="仿宋_GB2312" w:cs="仿宋_GB2312" w:eastAsia="仿宋_GB2312"/>
                <w:sz w:val="24"/>
              </w:rPr>
              <w:t>21.</w:t>
            </w:r>
            <w:r>
              <w:rPr>
                <w:rFonts w:ascii="仿宋_GB2312" w:hAnsi="仿宋_GB2312" w:cs="仿宋_GB2312" w:eastAsia="仿宋_GB2312"/>
                <w:sz w:val="24"/>
              </w:rPr>
              <w:t>终端硬件维修服务</w:t>
            </w:r>
          </w:p>
          <w:p>
            <w:pPr>
              <w:pStyle w:val="null3"/>
              <w:ind w:firstLine="420"/>
              <w:jc w:val="both"/>
            </w:pPr>
            <w:r>
              <w:rPr>
                <w:rFonts w:ascii="仿宋_GB2312" w:hAnsi="仿宋_GB2312" w:cs="仿宋_GB2312" w:eastAsia="仿宋_GB2312"/>
                <w:sz w:val="24"/>
              </w:rPr>
              <w:t>质保</w:t>
            </w:r>
            <w:r>
              <w:rPr>
                <w:rFonts w:ascii="仿宋_GB2312" w:hAnsi="仿宋_GB2312" w:cs="仿宋_GB2312" w:eastAsia="仿宋_GB2312"/>
                <w:sz w:val="24"/>
              </w:rPr>
              <w:t>1年</w:t>
            </w:r>
            <w:r>
              <w:rPr>
                <w:rFonts w:ascii="仿宋_GB2312" w:hAnsi="仿宋_GB2312" w:cs="仿宋_GB2312" w:eastAsia="仿宋_GB2312"/>
                <w:sz w:val="24"/>
              </w:rPr>
              <w:t>,</w:t>
            </w:r>
            <w:r>
              <w:rPr>
                <w:rFonts w:ascii="仿宋_GB2312" w:hAnsi="仿宋_GB2312" w:cs="仿宋_GB2312" w:eastAsia="仿宋_GB2312"/>
                <w:sz w:val="24"/>
              </w:rPr>
              <w:t>7*24 小时技术支持热线</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22.</w:t>
            </w:r>
            <w:r>
              <w:rPr>
                <w:rFonts w:ascii="仿宋_GB2312" w:hAnsi="仿宋_GB2312" w:cs="仿宋_GB2312" w:eastAsia="仿宋_GB2312"/>
                <w:sz w:val="24"/>
              </w:rPr>
              <w:t>通信语音数据服务</w:t>
            </w:r>
          </w:p>
          <w:p>
            <w:pPr>
              <w:pStyle w:val="null3"/>
              <w:ind w:firstLine="420"/>
              <w:jc w:val="both"/>
            </w:pPr>
            <w:r>
              <w:rPr>
                <w:rFonts w:ascii="仿宋_GB2312" w:hAnsi="仿宋_GB2312" w:cs="仿宋_GB2312" w:eastAsia="仿宋_GB2312"/>
                <w:sz w:val="24"/>
              </w:rPr>
              <w:t>按终端接入数配置</w:t>
            </w:r>
            <w:r>
              <w:rPr>
                <w:rFonts w:ascii="仿宋_GB2312" w:hAnsi="仿宋_GB2312" w:cs="仿宋_GB2312" w:eastAsia="仿宋_GB2312"/>
                <w:sz w:val="24"/>
              </w:rPr>
              <w:t>4G/5G安全双系统终端及配套资费，资费服务：1000分钟通话时长、80G流量等;满足检务专用安全办公及省级平台接入使用需求。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详见本章3.2.2款规定要求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详见本章3.2.2款规定要求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供货服务期：30天。通信服务：3年。质保期：1年。提供7*24小时技术支持热线。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安康铁路运输检察院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各项指标均应符合相关法律、法规、规章、技术标准和合同。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进度款，合同签订后15日内乙方开具全额发票，甲方收到发票后30日内，一次性付清合同全部价款。，达到付款条件起30个工作日内，支付合同总金额的100.0%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本合同在履行中发生争议，由当事人双方争议协商解决；协商不成，依法向人民法院起诉。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本项目所属行业：软件和信息技术服务业。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具有独立承担民事责任能力的法人或单位负责人、其他组织或自然人，提供合法有效的营业执照/事业单位法人证书/专业服务机构执业许可证/民办非企业单位登记证书等相关证明，自然人参与的提供其身份证明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法定代表人或负责人参加投标时，提供本人身份证复印件；授权代表参加投标时，提供法定代表人或负责人授权书、被授权人身份证复印件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税收缴纳证明：提供截止至招标时间前一年内1个月的纳税证明或完税证明，纳税证明或完税证明上应有代收机构或税务机关的公章或业务专用章，依法免税或新成立的供应商应提供相关文件证明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招标时间前一年内1个月的社会保障资金缴存单据或社保机构开具的社会保险参保缴费情况证明，单据或证明上应有社保机构或代收机构的公章或业务专用章，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具有履行合同所必需的设备和专业技术能力的证明材料（提供自述材料）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主体信用查询记录</w:t>
            </w:r>
          </w:p>
        </w:tc>
        <w:tc>
          <w:tcPr>
            <w:tcW w:type="dxa" w:w="3322"/>
          </w:tcPr>
          <w:p>
            <w:pPr>
              <w:pStyle w:val="null3"/>
            </w:pPr>
            <w:r>
              <w:rPr>
                <w:rFonts w:ascii="仿宋_GB2312" w:hAnsi="仿宋_GB2312" w:cs="仿宋_GB2312" w:eastAsia="仿宋_GB2312"/>
              </w:rPr>
              <w:t>供应商通过“信用中国”网站（www.creditchina.gov.cn）和中国政府采购网（www.ccgp.gov.cn）等渠道查询相关主体信用记录，对列入失信被执行人、重大税收违法案件当事人名单（或重大税收违法失信主体名单）、政府采购严重违法失信行为记录名单的供应商，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参加本次政府采购活动前三年内在经营活动中没有重大违纪，以及未被列入失信被执行人、重大税收违法案件当事人名单（或重大税收违法失信主体名单）、政府采购严重违法失信行为记录名单的书面声明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单位负责人为同一人或者存在直接控股、管理关系的不同供应商，不得参加同一合同项下的政府采购活动（需提供声明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只能有一个有效报价，不得提交选择性报价，且报价不超过第二章“供应商须知”前附表规定的采购预算金额及最高限价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其他情况</w:t>
            </w:r>
          </w:p>
        </w:tc>
        <w:tc>
          <w:tcPr>
            <w:tcW w:type="dxa" w:w="3322"/>
          </w:tcPr>
          <w:p>
            <w:pPr>
              <w:pStyle w:val="null3"/>
            </w:pPr>
            <w:r>
              <w:rPr>
                <w:rFonts w:ascii="仿宋_GB2312" w:hAnsi="仿宋_GB2312" w:cs="仿宋_GB2312" w:eastAsia="仿宋_GB2312"/>
              </w:rPr>
              <w:t>符合磋商文件或法律法规有关规定的其他情形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经过初审合格的供应商满足商务合同条款要求，对商务合同条款要求进行响应说明，完全响应的计5分，其他的不计分。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产品详情</w:t>
            </w:r>
          </w:p>
        </w:tc>
        <w:tc>
          <w:tcPr>
            <w:tcW w:type="dxa" w:w="2492"/>
          </w:tcPr>
          <w:p>
            <w:pPr>
              <w:pStyle w:val="null3"/>
            </w:pPr>
            <w:r>
              <w:rPr>
                <w:rFonts w:ascii="仿宋_GB2312" w:hAnsi="仿宋_GB2312" w:cs="仿宋_GB2312" w:eastAsia="仿宋_GB2312"/>
              </w:rPr>
              <w:t>根据采购要求和响应情况，投标产品须质量可靠，具有较好的使用效果，质量证明齐全、符合采购人预期要求： 1、对供应商提供的终端质量证明材料逐一进行评价，包含： ①产品实物图片及制造商详细介绍、②产品3C认证、③检验检测报告、④生产厂家出具的产品授权。 质量证明材料齐全得12分，每少提供1项证明材料或提供的证明材料与产品要求不符扣3分，本项最多扣12分。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根据采购要求和响应情况，对功能要求进行评价： 完全满足磋商文件要求的得22分，有负偏离情况的，评标委员会将根据该技术参数的负偏离进行扣分：每负偏离一项扣1分，扣完为止，正偏离不加分。 佐证材料不限于：产品说明书、合格证、检测报告、销售协议、代理协议、专利证书、产品认证证书、产品彩页、系统功能截图、厂家产品授权以及产品售后服务承诺函等），检验手续合法有效等。 注：复制粘贴招标文件参数要求（未填写产品实际参数）视为负偏离。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组织机构及售后响应时效</w:t>
            </w:r>
          </w:p>
        </w:tc>
        <w:tc>
          <w:tcPr>
            <w:tcW w:type="dxa" w:w="2492"/>
          </w:tcPr>
          <w:p>
            <w:pPr>
              <w:pStyle w:val="null3"/>
            </w:pPr>
            <w:r>
              <w:rPr>
                <w:rFonts w:ascii="仿宋_GB2312" w:hAnsi="仿宋_GB2312" w:cs="仿宋_GB2312" w:eastAsia="仿宋_GB2312"/>
              </w:rPr>
              <w:t>根据采购要求和响应情况，对供应商提供的组织机构及人员配置进行评价，包含： 1、项目负责人1名，具有相关专业中级职称计2分，具有相关专业高级职称计4分；需提供相关专业职称证书复印件，未提供的不计分。 2、售后服务及响应时效 投标人书面承诺：接到采购人故障报修后，技术人员到达现场（采购人指定地点）的时间。≤30分钟：4分；≤1小时：3分；≤2小时：2分；≤12小时：1分；&gt;12小时或无承诺：0分。 承诺的响应时效将写入合同，供应商可通过自有网点、中标后设点或委托当地第三方实现承诺。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提供2023年7月起至今类似项目业绩,每提供一个有效业绩计2分，本项最高得6分。（时间以合同签订时间为准，须在响应文件中附项目业绩合同的扫描件加盖单位公章）。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根据采购要求和响应情况，对供应商的提供的服务方案进行评价： 实施方案应切合现场运行实际情况，包括①项目背景及需求分析、②实施方案（含：项目实施组织、流程、执行进度安排）、③项目进度保障措施、④项目验收方案共计4项，每项最高计3分。 方案内容描述详细，架构完整，对项目需求和具体情况理解充分，贴合项目实际，能充分体现项目需求，计3分； 方案描述详细，针对项目情况有具体的分析阐述，可操作性强、能全面高效地完成本项目，计2.5分； 方案内容阐述、贴合项目实际情况进行论述，工作程序明确，包括实施细节及措施，计2分； 方案内容虽阐述但未贴合项目实际情况进行论述，工作程序不明确，未包括具体实施细节及措施，计1.5分； 方案内容未贴合项目实际情况进行详细论述，没有具体的内容和说明，计1分； 方案内容不完整，对项目理解不充分，计0.5分； 缺项则计0分。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根据采购要求和响应情况，对供应商提供的质量保证措施进行评价,包含：①健全的内部管理制度，②质量控制管理措施，共计2项，每项最高得3分： 措施内容描述详细，架构完整，对项目需求和具体情况理解充分，贴合项目实际，能充分体现项目需求，计3分； 措施描述详细，针对项目情况有具体的分析阐述，可操作性强、能全面高效地完成本项目，保证质量的，计2.5分； 方案内容阐述、贴合项目实际情况进行论述，工作程序明确，包括实施细节及措施，计2分； 方案内容虽阐述但未贴合项目实际情况进行论述，工作程序不明确，未包括具体实施细节及措施，计1.5分； 方案内容未贴合项目实际情况进行详细论述，没有具体的内容和说明，计1分； 方案内容不完整，对项目理解不充分，计0.5分； 缺项则计0分。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维保团队</w:t>
            </w:r>
          </w:p>
        </w:tc>
        <w:tc>
          <w:tcPr>
            <w:tcW w:type="dxa" w:w="2492"/>
          </w:tcPr>
          <w:p>
            <w:pPr>
              <w:pStyle w:val="null3"/>
            </w:pPr>
            <w:r>
              <w:rPr>
                <w:rFonts w:ascii="仿宋_GB2312" w:hAnsi="仿宋_GB2312" w:cs="仿宋_GB2312" w:eastAsia="仿宋_GB2312"/>
              </w:rPr>
              <w:t>根据采购要求和响应情况，对供应商提供的维保团队人员配置进行评价，包含①团队人员配备、②投入计划及组织措施、③管理制度、服务标准、④上岗员工培训制度共计4项，每项最高计2.5分： 方案描述详细，针对项目情况有具体的分析阐述，人员配备合理、经验丰富、分工明确，能全面高效地完成本项目，计2.5分； 方案描述详细，针对项目情况有具体的分析阐述，员配备充足，可操作性强、能全面高效地完成本项目，计2分； 方案内容虽阐述但未贴合项目实际情况进行论述，人员配备不足、无明确分工，计1.5分； 方案内容未贴合项目实际情况进行详细论述，没有具体的内容和说明，计1分； 方案内容不完整，未提供具体的人员配置说明，计0.5分； 缺项则计0分；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根据采购要求和响应情况，对供应商提供的重难点分析方案进行评价，包含：①本项目重点、难点工作、对关键步骤、环节的合理建议等共计1项，每项最高得3分： 方案内容描述详细，架构完整，对项目需求和具体情况理解充分，贴合项目实际，能充分体现项目需求，计3分； 方案描述详细，针对项目情况有具体的分析阐述，可操作性强、能全面高效地完成本项目，计2.5分； 方案内容阐述、贴合项目实际情况进行论述，工作程序明确，包括实施细节及措施，计2分； 方案内容虽阐述但未贴合项目实际情况进行论述，工作程序不明确，未包括具体实施细节及措施，计1.5分； 方案内容未贴合项目实际情况进行详细论述，没有具体的内容和说明，计1分； 方案内容不完整，对项目理解不充分，计0.5分； 缺项则计0分。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服务水平质量承诺及服务管理</w:t>
            </w:r>
          </w:p>
        </w:tc>
        <w:tc>
          <w:tcPr>
            <w:tcW w:type="dxa" w:w="2492"/>
          </w:tcPr>
          <w:p>
            <w:pPr>
              <w:pStyle w:val="null3"/>
            </w:pPr>
            <w:r>
              <w:rPr>
                <w:rFonts w:ascii="仿宋_GB2312" w:hAnsi="仿宋_GB2312" w:cs="仿宋_GB2312" w:eastAsia="仿宋_GB2312"/>
              </w:rPr>
              <w:t>根据采购要求和响应情况，对供应商提供的服务承诺方案进行评价，①售后服务承诺，②售后服务方案及保障措施等共计2项，每项最高得3分： 方案内容描述详细，架构完整，对项目需求和具体情况理解充分，贴合项目实际，能充分体现项目需求，计3分； 方案描述详细，针对项目情况有具体的分析阐述，可操作性强、能全面高效地完成本项目，计2.5分； 方案内容阐述、贴合项目实际情况进行论述，工作程序明确，包括实施细节及措施，计2分； 方案内容虽阐述但未贴合项目实际情况进行论述，工作程序不明确，未包括具体实施细节及措施，计1.5分； 方案内容未贴合项目实际情况进行详细论述，没有具体的内容和说明，计1分； 方案内容不完整，对项目理解不充分，计0.5分； 缺项则计0分。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以满足招标文件要求且投标价格最低的投标报价为评标基准价，其价格分为满分10分，其他投标人的价格分按照下列公式计算：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