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版本号：SCYB2026-CG-006.1B120260810001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南郑区老年人综合能力评估服务(二次)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SCYB2026-CG-006.1B1</w:t>
      </w:r>
      <w:r>
        <w:br/>
      </w:r>
      <w:r>
        <w:br/>
      </w:r>
      <w:r>
        <w:br/>
      </w:r>
    </w:p>
    <w:p>
      <w:pPr>
        <w:pStyle w:val="null3"/>
        <w:jc w:val="center"/>
        <w:outlineLvl w:val="2"/>
      </w:pPr>
      <w:r>
        <w:rPr>
          <w:rFonts w:ascii="仿宋_GB2312" w:hAnsi="仿宋_GB2312" w:cs="仿宋_GB2312" w:eastAsia="仿宋_GB2312"/>
          <w:sz w:val="28"/>
          <w:b/>
        </w:rPr>
        <w:t>汉中市南郑区民政局</w:t>
      </w:r>
    </w:p>
    <w:p>
      <w:pPr>
        <w:pStyle w:val="null3"/>
        <w:jc w:val="center"/>
        <w:outlineLvl w:val="2"/>
      </w:pPr>
      <w:r>
        <w:rPr>
          <w:rFonts w:ascii="仿宋_GB2312" w:hAnsi="仿宋_GB2312" w:cs="仿宋_GB2312" w:eastAsia="仿宋_GB2312"/>
          <w:sz w:val="28"/>
          <w:b/>
        </w:rPr>
        <w:t>陕西顺畅义邦项目管理有限公司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陕西顺畅义邦项目管理有限公司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汉中市南郑区民政局</w:t>
      </w:r>
      <w:r>
        <w:rPr>
          <w:rFonts w:ascii="仿宋_GB2312" w:hAnsi="仿宋_GB2312" w:cs="仿宋_GB2312" w:eastAsia="仿宋_GB2312"/>
        </w:rPr>
        <w:t>委托，拟对</w:t>
      </w:r>
      <w:r>
        <w:rPr>
          <w:rFonts w:ascii="仿宋_GB2312" w:hAnsi="仿宋_GB2312" w:cs="仿宋_GB2312" w:eastAsia="仿宋_GB2312"/>
        </w:rPr>
        <w:t>南郑区老年人综合能力评估服务(二次)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SCYB2026-CG-006.1B1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南郑区老年人综合能力评估服务(二次)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严格按照《老年人能力评估规范》(GB/T42195-2022)规定的评估指标，为南郑区预估5000名老年人开展全面、客观、规范的能力评估。</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采购包1（南郑区老年人综合能力评估服务）：属于专门面向中小企业采购。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供应商为具有独立承担民事责任能力的企业法人、事业法人、其他组织，提供营业执照复印件或电子件（事业单位须事业单位法人证、组织机构代码证等证明文件；其他组织应提供合法证明文件）；</w:t>
      </w:r>
    </w:p>
    <w:p>
      <w:pPr>
        <w:pStyle w:val="null3"/>
      </w:pPr>
      <w:r>
        <w:rPr>
          <w:rFonts w:ascii="仿宋_GB2312" w:hAnsi="仿宋_GB2312" w:cs="仿宋_GB2312" w:eastAsia="仿宋_GB2312"/>
        </w:rPr>
        <w:t>2、法定代表人或授权委托人身份证明：法定代表人参加开标会议的，须提供本人身份证明；法定代表人授权他人参加开标会议的，须提供法定代表人授权委托书并提供被授权代表的身份证明；</w:t>
      </w:r>
    </w:p>
    <w:p>
      <w:pPr>
        <w:pStyle w:val="null3"/>
      </w:pPr>
      <w:r>
        <w:rPr>
          <w:rFonts w:ascii="仿宋_GB2312" w:hAnsi="仿宋_GB2312" w:cs="仿宋_GB2312" w:eastAsia="仿宋_GB2312"/>
        </w:rPr>
        <w:t>3、供应商资格承诺函：供应商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4、非联合体书面声明函：本项目不接受联合体投标，供应商需提供非联合体书面声明函（格式自行拟定）；</w:t>
      </w:r>
    </w:p>
    <w:p>
      <w:pPr>
        <w:pStyle w:val="null3"/>
      </w:pPr>
      <w:r>
        <w:rPr>
          <w:rFonts w:ascii="仿宋_GB2312" w:hAnsi="仿宋_GB2312" w:cs="仿宋_GB2312" w:eastAsia="仿宋_GB2312"/>
        </w:rPr>
        <w:t>5、中小企业声明函：本项目为专门面向中小企业项目，响应人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评审依据：供应商须提供中小企业声明函。备注：供应商如为中小微企业的，须严格按照系统给定格式提供中小企业声明函，必须加盖供应商的有效印鉴，涉及内容的真实性由供应商承担相关责任）</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汉中市南郑区民政局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汉山街道办西大街32号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汉中市南郑区民政局经办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0916-5511013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陕西顺畅义邦项目管理有限公司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汉台区望江路远东大厦3楼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0916-8823535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采购包1：300,200.00元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开户名称：陕西顺畅义邦项目管理有限公司</w:t>
            </w:r>
          </w:p>
          <w:p>
            <w:pPr>
              <w:pStyle w:val="null3"/>
            </w:pPr>
            <w:r>
              <w:rPr>
                <w:rFonts w:ascii="仿宋_GB2312" w:hAnsi="仿宋_GB2312" w:cs="仿宋_GB2312" w:eastAsia="仿宋_GB2312"/>
              </w:rPr>
              <w:t>开户银行：中国建设银行股份有限公司汉中前进东路支行</w:t>
            </w:r>
          </w:p>
          <w:p>
            <w:pPr>
              <w:pStyle w:val="null3"/>
            </w:pPr>
            <w:r>
              <w:rPr>
                <w:rFonts w:ascii="仿宋_GB2312" w:hAnsi="仿宋_GB2312" w:cs="仿宋_GB2312" w:eastAsia="仿宋_GB2312"/>
              </w:rPr>
              <w:t>银行账号：61050165004200000387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国家计委关于印发&lt;招标代理服务收费管理暂行办法&gt;的通知》（计价格[2002]1980号）、发改价格〔2011〕534号文及《陕西省住房和城乡建设厅文件陕价行发【2014】88号》文收费标准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汉中市南郑区民政局</w:t>
      </w:r>
      <w:r>
        <w:rPr>
          <w:rFonts w:ascii="仿宋_GB2312" w:hAnsi="仿宋_GB2312" w:cs="仿宋_GB2312" w:eastAsia="仿宋_GB2312"/>
        </w:rPr>
        <w:t>和</w:t>
      </w:r>
      <w:r>
        <w:rPr>
          <w:rFonts w:ascii="仿宋_GB2312" w:hAnsi="仿宋_GB2312" w:cs="仿宋_GB2312" w:eastAsia="仿宋_GB2312"/>
        </w:rPr>
        <w:t>陕西顺畅义邦项目管理有限公司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汉中市南郑区民政局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陕西顺畅义邦项目管理有限公司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汉中市南郑区民政局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陕西顺畅义邦项目管理有限公司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1、供应商保证项目所使用自有、第三方知识成果权属合法有效，相关许可成本包含在合同总价中。一旦发生知识产权侵权争议，全部法律责任与经济损失由供应商承担。 2、项目履约产生的评估报告、电子档案、老年人评估数据等工作成果权属归采购人。供应商仅限为本项目履约使用，未经采购人书面同意，不得挪作其他用途。 3、若使用第三方系统、软件开展评估作业，供应商须保障服务周期内稳定正常使用；项目结束后完整移交全部业务数据，不得设置技术限制。</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所有已完成评估业务信息均录入陕西省智慧民政一体化平台，在平台内可查询全部评估数据，确保评估数据真实、完整、全程可追溯。</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陕西顺畅义邦项目管理有限公司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陕西顺畅义邦项目管理有限公司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陕西顺畅义邦项目管理有限公司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联系人：刘女士</w:t>
      </w:r>
    </w:p>
    <w:p>
      <w:pPr>
        <w:pStyle w:val="null3"/>
      </w:pPr>
      <w:r>
        <w:rPr>
          <w:rFonts w:ascii="仿宋_GB2312" w:hAnsi="仿宋_GB2312" w:cs="仿宋_GB2312" w:eastAsia="仿宋_GB2312"/>
        </w:rPr>
        <w:t>联系电话：0916-8823535</w:t>
      </w:r>
    </w:p>
    <w:p>
      <w:pPr>
        <w:pStyle w:val="null3"/>
      </w:pPr>
      <w:r>
        <w:rPr>
          <w:rFonts w:ascii="仿宋_GB2312" w:hAnsi="仿宋_GB2312" w:cs="仿宋_GB2312" w:eastAsia="仿宋_GB2312"/>
        </w:rPr>
        <w:t>地址：汉台区望江路远东大厦3楼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严格按照《老年人能力评估规范》(GB/T42195-2022)规定的评估指标，为南郑区预估5000名老年人开展全面、客观、规范的能力评估。</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300,200.00</w:t>
      </w:r>
    </w:p>
    <w:p>
      <w:pPr>
        <w:pStyle w:val="null3"/>
      </w:pPr>
      <w:r>
        <w:rPr>
          <w:rFonts w:ascii="仿宋_GB2312" w:hAnsi="仿宋_GB2312" w:cs="仿宋_GB2312" w:eastAsia="仿宋_GB2312"/>
        </w:rPr>
        <w:t>采购包最高限价（元）: 300,200.00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老年人综合能力评估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300,200.00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标的名称：老年人综合能力评估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center"/>
            </w:pPr>
            <w:r>
              <w:rPr>
                <w:rFonts w:ascii="仿宋_GB2312" w:hAnsi="仿宋_GB2312" w:cs="仿宋_GB2312" w:eastAsia="仿宋_GB2312"/>
                <w:sz w:val="28"/>
              </w:rPr>
              <w:t>服务内容及要求</w:t>
            </w:r>
          </w:p>
          <w:p>
            <w:pPr>
              <w:pStyle w:val="null3"/>
            </w:pPr>
            <w:r>
              <w:rPr>
                <w:rFonts w:ascii="仿宋_GB2312" w:hAnsi="仿宋_GB2312" w:cs="仿宋_GB2312" w:eastAsia="仿宋_GB2312"/>
                <w:sz w:val="28"/>
              </w:rPr>
              <w:t>一、项目</w:t>
            </w:r>
            <w:r>
              <w:rPr>
                <w:rFonts w:ascii="仿宋_GB2312" w:hAnsi="仿宋_GB2312" w:cs="仿宋_GB2312" w:eastAsia="仿宋_GB2312"/>
                <w:sz w:val="28"/>
              </w:rPr>
              <w:t>概况</w:t>
            </w:r>
          </w:p>
          <w:p>
            <w:pPr>
              <w:pStyle w:val="null3"/>
            </w:pPr>
            <w:r>
              <w:rPr>
                <w:rFonts w:ascii="仿宋_GB2312" w:hAnsi="仿宋_GB2312" w:cs="仿宋_GB2312" w:eastAsia="仿宋_GB2312"/>
                <w:sz w:val="28"/>
              </w:rPr>
              <w:t>严格按照《老年人能力评估规范》(GB/T42195-2022)规定的评估指标，预估为5000</w:t>
            </w:r>
            <w:r>
              <w:rPr>
                <w:rFonts w:ascii="仿宋_GB2312" w:hAnsi="仿宋_GB2312" w:cs="仿宋_GB2312" w:eastAsia="仿宋_GB2312"/>
                <w:sz w:val="28"/>
              </w:rPr>
              <w:t>名老年人开展全面、客观、规范的能力评估。</w:t>
            </w:r>
          </w:p>
          <w:p>
            <w:pPr>
              <w:pStyle w:val="null3"/>
            </w:pPr>
            <w:r>
              <w:rPr>
                <w:rFonts w:ascii="仿宋_GB2312" w:hAnsi="仿宋_GB2312" w:cs="仿宋_GB2312" w:eastAsia="仿宋_GB2312"/>
                <w:sz w:val="28"/>
              </w:rPr>
              <w:t>二、评估原则</w:t>
            </w:r>
          </w:p>
          <w:p>
            <w:pPr>
              <w:pStyle w:val="null3"/>
            </w:pPr>
            <w:r>
              <w:rPr>
                <w:rFonts w:ascii="仿宋_GB2312" w:hAnsi="仿宋_GB2312" w:cs="仿宋_GB2312" w:eastAsia="仿宋_GB2312"/>
                <w:sz w:val="28"/>
              </w:rPr>
              <w:t>老年人能力评估，是指依申请对具有照护需求且符合规定条件的老年人，由专业人员依据《老年人能力评估规范》国家标准</w:t>
            </w:r>
            <w:r>
              <w:rPr>
                <w:rFonts w:ascii="仿宋_GB2312" w:hAnsi="仿宋_GB2312" w:cs="仿宋_GB2312" w:eastAsia="仿宋_GB2312"/>
                <w:sz w:val="28"/>
              </w:rPr>
              <w:t>(GB/T42195-2022)，对其自理能力、基础运动能力、精神状态、感知与社会参与等进行评估确定评估等级。 评估工作应坚持公开、公正、公平的原则，秉持严谨、务实、高效的态度，坚持老年人权益优先尊重受评估老年人意愿，切实加强老年人隐私保护。</w:t>
            </w:r>
          </w:p>
          <w:p>
            <w:pPr>
              <w:pStyle w:val="null3"/>
            </w:pPr>
            <w:r>
              <w:rPr>
                <w:rFonts w:ascii="仿宋_GB2312" w:hAnsi="仿宋_GB2312" w:cs="仿宋_GB2312" w:eastAsia="仿宋_GB2312"/>
                <w:sz w:val="28"/>
              </w:rPr>
              <w:t>三、评估对象</w:t>
            </w:r>
          </w:p>
          <w:p>
            <w:pPr>
              <w:pStyle w:val="null3"/>
              <w:jc w:val="both"/>
            </w:pPr>
            <w:r>
              <w:rPr>
                <w:rFonts w:ascii="仿宋_GB2312" w:hAnsi="仿宋_GB2312" w:cs="仿宋_GB2312" w:eastAsia="仿宋_GB2312"/>
                <w:sz w:val="28"/>
              </w:rPr>
              <w:t>对</w:t>
            </w:r>
            <w:r>
              <w:rPr>
                <w:rFonts w:ascii="仿宋_GB2312" w:hAnsi="仿宋_GB2312" w:cs="仿宋_GB2312" w:eastAsia="仿宋_GB2312"/>
                <w:sz w:val="28"/>
              </w:rPr>
              <w:t>具有南郑区户籍或长期居住在南郑区，有评估需求的老年人。对申请享受政府购买服务政策待遇、入住养老机构的老年人，低收入人口中的老年人，即最低生活保障对象、特困人员、最低生活保障边缘家庭成员、刚性支出困难家庭人员中的老年人进行全面评估。可拓宽至防止返贫监测对象，以及其他由县级以上民政部门认定的困难人员中的老年人。预估人员</w:t>
            </w:r>
            <w:r>
              <w:rPr>
                <w:rFonts w:ascii="仿宋_GB2312" w:hAnsi="仿宋_GB2312" w:cs="仿宋_GB2312" w:eastAsia="仿宋_GB2312"/>
                <w:sz w:val="28"/>
              </w:rPr>
              <w:t>5000人。</w:t>
            </w:r>
            <w:r>
              <w:rPr>
                <w:rFonts w:ascii="仿宋_GB2312" w:hAnsi="仿宋_GB2312" w:cs="仿宋_GB2312" w:eastAsia="仿宋_GB2312"/>
                <w:sz w:val="28"/>
              </w:rPr>
              <w:t>且需通过县区老年人能力评估平台实时上传数据，确保报告真实可追溯。</w:t>
            </w:r>
          </w:p>
          <w:p>
            <w:pPr>
              <w:pStyle w:val="null3"/>
            </w:pPr>
            <w:r>
              <w:rPr>
                <w:rFonts w:ascii="仿宋_GB2312" w:hAnsi="仿宋_GB2312" w:cs="仿宋_GB2312" w:eastAsia="仿宋_GB2312"/>
                <w:sz w:val="28"/>
              </w:rPr>
              <w:t>四、评估期限及结果应用</w:t>
            </w:r>
          </w:p>
          <w:p>
            <w:pPr>
              <w:pStyle w:val="null3"/>
            </w:pPr>
            <w:r>
              <w:rPr>
                <w:rFonts w:ascii="仿宋_GB2312" w:hAnsi="仿宋_GB2312" w:cs="仿宋_GB2312" w:eastAsia="仿宋_GB2312"/>
                <w:sz w:val="28"/>
              </w:rPr>
              <w:t>服务期限</w:t>
            </w:r>
            <w:r>
              <w:rPr>
                <w:rFonts w:ascii="仿宋_GB2312" w:hAnsi="仿宋_GB2312" w:cs="仿宋_GB2312" w:eastAsia="仿宋_GB2312"/>
                <w:sz w:val="28"/>
              </w:rPr>
              <w:t>:合同签订之日起</w:t>
            </w:r>
            <w:r>
              <w:rPr>
                <w:rFonts w:ascii="仿宋_GB2312" w:hAnsi="仿宋_GB2312" w:cs="仿宋_GB2312" w:eastAsia="仿宋_GB2312"/>
                <w:sz w:val="28"/>
              </w:rPr>
              <w:t>45</w:t>
            </w:r>
            <w:r>
              <w:rPr>
                <w:rFonts w:ascii="仿宋_GB2312" w:hAnsi="仿宋_GB2312" w:cs="仿宋_GB2312" w:eastAsia="仿宋_GB2312"/>
                <w:sz w:val="28"/>
              </w:rPr>
              <w:t>日历天</w:t>
            </w:r>
          </w:p>
          <w:p>
            <w:pPr>
              <w:pStyle w:val="null3"/>
            </w:pPr>
            <w:r>
              <w:rPr>
                <w:rFonts w:ascii="仿宋_GB2312" w:hAnsi="仿宋_GB2312" w:cs="仿宋_GB2312" w:eastAsia="仿宋_GB2312"/>
                <w:sz w:val="28"/>
              </w:rPr>
              <w:t>评估结果应用</w:t>
            </w:r>
            <w:r>
              <w:rPr>
                <w:rFonts w:ascii="仿宋_GB2312" w:hAnsi="仿宋_GB2312" w:cs="仿宋_GB2312" w:eastAsia="仿宋_GB2312"/>
                <w:sz w:val="28"/>
              </w:rPr>
              <w:t>:评估结果作为申请人享受政府购买服务、政府补贴发放、入住公办养老机构等政策的重要依据</w:t>
            </w:r>
          </w:p>
          <w:p>
            <w:pPr>
              <w:pStyle w:val="null3"/>
            </w:pPr>
            <w:r>
              <w:rPr>
                <w:rFonts w:ascii="仿宋_GB2312" w:hAnsi="仿宋_GB2312" w:cs="仿宋_GB2312" w:eastAsia="仿宋_GB2312"/>
                <w:sz w:val="28"/>
              </w:rPr>
              <w:t>五、工作内容</w:t>
            </w:r>
          </w:p>
          <w:p>
            <w:pPr>
              <w:pStyle w:val="null3"/>
            </w:pPr>
            <w:r>
              <w:rPr>
                <w:rFonts w:ascii="仿宋_GB2312" w:hAnsi="仿宋_GB2312" w:cs="仿宋_GB2312" w:eastAsia="仿宋_GB2312"/>
                <w:sz w:val="28"/>
              </w:rPr>
              <w:t>1.工作衔接。各机构与县区民政局就需评估老人具体情况制定具体工作计划和进度安排，先保障集中特困供养人员，再开展社会保障人员评估</w:t>
            </w:r>
            <w:r>
              <w:rPr>
                <w:rFonts w:ascii="仿宋_GB2312" w:hAnsi="仿宋_GB2312" w:cs="仿宋_GB2312" w:eastAsia="仿宋_GB2312"/>
                <w:sz w:val="28"/>
              </w:rPr>
              <w:t>。</w:t>
            </w:r>
          </w:p>
          <w:p>
            <w:pPr>
              <w:pStyle w:val="null3"/>
            </w:pPr>
            <w:r>
              <w:rPr>
                <w:rFonts w:ascii="仿宋_GB2312" w:hAnsi="仿宋_GB2312" w:cs="仿宋_GB2312" w:eastAsia="仿宋_GB2312"/>
                <w:sz w:val="28"/>
              </w:rPr>
              <w:t>2.评估实施:根据县区民政局提供数据，按照《老年人能力评估规范》(GB/T42195-2022)，对评估对象进行上门或集中式的个体分析评价。评估时应有2名评估人员同时在场，至少一人具有医护专业背景。评估时，老年人身体发生不适，或者精神出现问题，应终止评估。按照《老年人能力评估规范》国家标准，</w:t>
            </w:r>
            <w:r>
              <w:rPr>
                <w:rFonts w:ascii="仿宋_GB2312" w:hAnsi="仿宋_GB2312" w:cs="仿宋_GB2312" w:eastAsia="仿宋_GB2312"/>
                <w:sz w:val="28"/>
              </w:rPr>
              <w:t>评估内容为一级指标共4个，包括自理能力、基础运动能力、精神状态、感知觉与社会参与:二级指标共26个，包括自理能力8个二级指标，基础运动能力4个二级指标，精神状态9个二级指标，感知觉与社会参与5个二级指标。</w:t>
            </w:r>
          </w:p>
          <w:p>
            <w:pPr>
              <w:pStyle w:val="null3"/>
            </w:pPr>
            <w:r>
              <w:rPr>
                <w:rFonts w:ascii="仿宋_GB2312" w:hAnsi="仿宋_GB2312" w:cs="仿宋_GB2312" w:eastAsia="仿宋_GB2312"/>
                <w:sz w:val="28"/>
              </w:rPr>
              <w:t>3.资料管理。完成“一人一档”评估档案，包含建档、相关评估资料的收集、整理与归档等相关工作。</w:t>
            </w:r>
          </w:p>
          <w:p>
            <w:pPr>
              <w:pStyle w:val="null3"/>
              <w:jc w:val="both"/>
            </w:pPr>
            <w:r>
              <w:rPr>
                <w:rFonts w:ascii="仿宋_GB2312" w:hAnsi="仿宋_GB2312" w:cs="仿宋_GB2312" w:eastAsia="仿宋_GB2312"/>
                <w:sz w:val="28"/>
              </w:rPr>
              <w:t>4.数据录入上报。供应商须严格按照服务内容及相关要求及时提供符合标准的评估服务，规范开展现场信息采集，并及时在</w:t>
            </w:r>
            <w:r>
              <w:rPr>
                <w:rFonts w:ascii="仿宋_GB2312" w:hAnsi="仿宋_GB2312" w:cs="仿宋_GB2312" w:eastAsia="仿宋_GB2312"/>
                <w:sz w:val="28"/>
                <w:b/>
              </w:rPr>
              <w:t>陕西省智慧民政一体化平台</w:t>
            </w:r>
            <w:r>
              <w:rPr>
                <w:rFonts w:ascii="仿宋_GB2312" w:hAnsi="仿宋_GB2312" w:cs="仿宋_GB2312" w:eastAsia="仿宋_GB2312"/>
                <w:sz w:val="28"/>
              </w:rPr>
              <w:t>完成评估数据、佐证资料录入上传，确保评估数据真实、完整、规范、全程可追溯。</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企业技术服务人员配备充足，学历、专业结构合理，针对本项目服务要求能够配备相应技术服务人员。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根据所实施服务的内容及要求配备相关设备、设施，保证服务质量。</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严格按照服务内容及相关要求及时提供符合标准的评估服务，规范开展现场信息采集，并及时在陕西省智慧民政一体化平台完成评估数据、佐证资料录入上传，确保评估数据真实、完整、规范、全程可追溯。</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45日历天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所有已完成评估业务信息均录入陕西省智慧民政一体化平台，在平台内可查询全部评估数据，确保评估数据真实、完整、全程可追溯。</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预付款，合同签定后，达到付款条件起15个工作日内，支付合同总金额的50.0%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进度款，履约完成后，达到付款条件起15个工作日内，支付合同总金额的30.0%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进度款，验收合格后，达到付款条件起15个工作日内，支付合同总金额的20.0%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仲裁或诉讼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中标供应商在成交结果公示结束后5个工作日内向代理机构提供纸质版投标文件，投标文件为正本1份，副本2份、电子版1份（U盘注明单位名称，投标文件内容须与电子交易平台上传文件内容保持一致）。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供应商为具有独立承担民事责任能力的企业法人、事业法人、其他组织，提供营业执照复印件或电子件（事业单位须事业单位法人证、组织机构代码证等证明文件；其他组织应提供合法证明文件）；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法定代表人或授权委托人身份证明</w:t>
            </w:r>
          </w:p>
        </w:tc>
        <w:tc>
          <w:tcPr>
            <w:tcW w:type="dxa" w:w="3322"/>
          </w:tcPr>
          <w:p>
            <w:pPr>
              <w:pStyle w:val="null3"/>
            </w:pPr>
            <w:r>
              <w:rPr>
                <w:rFonts w:ascii="仿宋_GB2312" w:hAnsi="仿宋_GB2312" w:cs="仿宋_GB2312" w:eastAsia="仿宋_GB2312"/>
              </w:rPr>
              <w:t>法定代表人参加开标会议的，须提供本人身份证明；法定代表人授权他人参加开标会议的，须提供法定代表人授权委托书并提供被授权代表的身份证明；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非联合体书面声明函</w:t>
            </w:r>
          </w:p>
        </w:tc>
        <w:tc>
          <w:tcPr>
            <w:tcW w:type="dxa" w:w="3322"/>
          </w:tcPr>
          <w:p>
            <w:pPr>
              <w:pStyle w:val="null3"/>
            </w:pPr>
            <w:r>
              <w:rPr>
                <w:rFonts w:ascii="仿宋_GB2312" w:hAnsi="仿宋_GB2312" w:cs="仿宋_GB2312" w:eastAsia="仿宋_GB2312"/>
              </w:rPr>
              <w:t>本项目不接受联合体投标，供应商需提供非联合体书面声明函（格式自行拟定）；</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为专门面向中小企业项目，响应人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评审依据：供应商须提供中小企业声明函。备注：供应商如为中小微企业的，须严格按照系统给定格式提供中小企业声明函，必须加盖供应商的有效印鉴，涉及内容的真实性由供应商承担相关责任）</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响应文件是否按磋商文件要求签署、盖章的</w:t>
            </w:r>
          </w:p>
        </w:tc>
        <w:tc>
          <w:tcPr>
            <w:tcW w:type="dxa" w:w="3322"/>
          </w:tcPr>
          <w:p>
            <w:pPr>
              <w:pStyle w:val="null3"/>
            </w:pPr>
            <w:r>
              <w:rPr>
                <w:rFonts w:ascii="仿宋_GB2312" w:hAnsi="仿宋_GB2312" w:cs="仿宋_GB2312" w:eastAsia="仿宋_GB2312"/>
              </w:rPr>
              <w:t>响应文件是否按磋商文件要求签署、盖章的</w:t>
            </w:r>
          </w:p>
        </w:tc>
        <w:tc>
          <w:tcPr>
            <w:tcW w:type="dxa" w:w="1661"/>
          </w:tcPr>
          <w:p>
            <w:pPr>
              <w:pStyle w:val="null3"/>
            </w:pPr>
            <w:r>
              <w:rPr>
                <w:rFonts w:ascii="仿宋_GB2312" w:hAnsi="仿宋_GB2312" w:cs="仿宋_GB2312" w:eastAsia="仿宋_GB2312"/>
              </w:rPr>
              <w:t>供应商类似项目业绩一览表.docx 中小企业声明函 商务应答表 服务内容及服务要求应答表 保证金格式.docx 报价表 项目服务实施方案.docx 响应文件封面 供应商应提交的相关资格证明材料.docx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磋商保证金提交的金额、形式符合磋商文件要求</w:t>
            </w:r>
          </w:p>
        </w:tc>
        <w:tc>
          <w:tcPr>
            <w:tcW w:type="dxa" w:w="1661"/>
          </w:tcPr>
          <w:p>
            <w:pPr>
              <w:pStyle w:val="null3"/>
            </w:pPr>
            <w:r>
              <w:rPr>
                <w:rFonts w:ascii="仿宋_GB2312" w:hAnsi="仿宋_GB2312" w:cs="仿宋_GB2312" w:eastAsia="仿宋_GB2312"/>
              </w:rPr>
              <w:t>保证金格式.docx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响应文件是否含有采购人不能接受的附加条件的或其他情形</w:t>
            </w:r>
          </w:p>
        </w:tc>
        <w:tc>
          <w:tcPr>
            <w:tcW w:type="dxa" w:w="1661"/>
          </w:tcPr>
          <w:p>
            <w:pPr>
              <w:pStyle w:val="null3"/>
            </w:pPr>
            <w:r>
              <w:rPr>
                <w:rFonts w:ascii="仿宋_GB2312" w:hAnsi="仿宋_GB2312" w:cs="仿宋_GB2312" w:eastAsia="仿宋_GB2312"/>
              </w:rPr>
              <w:t>项目服务实施方案.docx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项目需求分析</w:t>
            </w:r>
          </w:p>
        </w:tc>
        <w:tc>
          <w:tcPr>
            <w:tcW w:type="dxa" w:w="2492"/>
          </w:tcPr>
          <w:p>
            <w:pPr>
              <w:pStyle w:val="null3"/>
            </w:pPr>
            <w:r>
              <w:rPr>
                <w:rFonts w:ascii="仿宋_GB2312" w:hAnsi="仿宋_GB2312" w:cs="仿宋_GB2312" w:eastAsia="仿宋_GB2312"/>
              </w:rPr>
              <w:t>一、评审内容：供应商须结合本项目实际情况，针对性编制项目需求分析，内容包含： 1. 项目内容及概况分析（1.5分）；2. 工作内容理解与分析（1.5分）；3. 项目重点难点及解决措施（1.5分）； 二、评审标准 ①完整性：方案须全面，对评审内容中的各项要求有详细描述及说明；②可实施性：切合本项目实际情况，实施步骤清晰、科学、合理；③针对性：方案能够紧扣项目实际情况，内容全面、科学合理、详细具体；三、赋分标准，每满足一个评审标准得0.5分，满分4.5分，未提供相关内容的不计分，每有一项缺陷扣0.5分。（“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整体服务实施方案</w:t>
            </w:r>
          </w:p>
        </w:tc>
        <w:tc>
          <w:tcPr>
            <w:tcW w:type="dxa" w:w="2492"/>
          </w:tcPr>
          <w:p>
            <w:pPr>
              <w:pStyle w:val="null3"/>
            </w:pPr>
            <w:r>
              <w:rPr>
                <w:rFonts w:ascii="仿宋_GB2312" w:hAnsi="仿宋_GB2312" w:cs="仿宋_GB2312" w:eastAsia="仿宋_GB2312"/>
              </w:rPr>
              <w:t>一、评审内容：供应商针对本项目提供项目服务方案，内容包含但不限于：1、方案包含组织架构（1.5分）；2、入户评估规范（1.5分）；3、信息采集（1.5分）；4、等级判定（1.5分）；5、报告出具（1.5分）；6、台账及进度管控等。（1.5分） 二、评审标准 ①完整性：方案须全面，对评审内容中的各项要求有详细描述及说明；②可实施性：切合本项目实际情况，实施步骤清晰、科学、合理；③针对性：方案能够紧扣项目实际情况，内容全面、科学合理、详细具体； 三、赋分标准，每满足一个评审标准得0.5分，满分9分，未提供相关内容的不计分，每有一项缺陷扣0.5分。（“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质量管理及保障方案</w:t>
            </w:r>
          </w:p>
        </w:tc>
        <w:tc>
          <w:tcPr>
            <w:tcW w:type="dxa" w:w="2492"/>
          </w:tcPr>
          <w:p>
            <w:pPr>
              <w:pStyle w:val="null3"/>
            </w:pPr>
            <w:r>
              <w:rPr>
                <w:rFonts w:ascii="仿宋_GB2312" w:hAnsi="仿宋_GB2312" w:cs="仿宋_GB2312" w:eastAsia="仿宋_GB2312"/>
              </w:rPr>
              <w:t>一、评审内容：1、具备完善的岗前培训（1.5分）；2、现场督导（1.5分）；3、抽样复核、双人核验（1.5分）；4、疑点重评、纠错考评等闭环质量管控机制（1.5分）。 二、评审标准 ①完整性：方案须全面，对评审内容中的各项要求有详细描述及说明；②可实施性：切合本项目实际情况，实施步骤清晰、科学、合理；③针对性：方案能够紧扣项目实际情况，内容全面、科学合理、详细具体； 三、赋分标准，每满足一个评审标准得0.5分，满分6分，未提供相关内容的不计分，每有一项缺陷扣0.5分。（“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信息档案与数据管理方案</w:t>
            </w:r>
          </w:p>
        </w:tc>
        <w:tc>
          <w:tcPr>
            <w:tcW w:type="dxa" w:w="2492"/>
          </w:tcPr>
          <w:p>
            <w:pPr>
              <w:pStyle w:val="null3"/>
            </w:pPr>
            <w:r>
              <w:rPr>
                <w:rFonts w:ascii="仿宋_GB2312" w:hAnsi="仿宋_GB2312" w:cs="仿宋_GB2312" w:eastAsia="仿宋_GB2312"/>
              </w:rPr>
              <w:t>一、评审内容：1、具备纸质+电子双归档、一户一档（1.5分）；2、编号管理、台账统计（1.5分）；3、数据上报、溯源及档案借阅管理体系，规范严谨、符合民政档案管理要求（1.5分）。 二、评审标准 ①完整性：方案须全面，对评审内容中的各项要求有详细描述及说明；②可实施性：切合本项目实际情况，实施步骤清晰、科学、合理；③针对性：方案能够紧扣项目实际情况，内容全面、科学合理、详细具体； 三、赋分标准，每满足一个评审标准得0.5分，满分4.5分，未提供相关内容的不计分，每有一项缺陷扣0.5分。（“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保密管理制度</w:t>
            </w:r>
          </w:p>
        </w:tc>
        <w:tc>
          <w:tcPr>
            <w:tcW w:type="dxa" w:w="2492"/>
          </w:tcPr>
          <w:p>
            <w:pPr>
              <w:pStyle w:val="null3"/>
            </w:pPr>
            <w:r>
              <w:rPr>
                <w:rFonts w:ascii="仿宋_GB2312" w:hAnsi="仿宋_GB2312" w:cs="仿宋_GB2312" w:eastAsia="仿宋_GB2312"/>
              </w:rPr>
              <w:t>一、评审内容：针对老人个人信息、健康数据、评估台账等涉密内容制定保密管理制度，措施严密、权责清晰。 1、建立完善保密制度（1.5分）；2、权限管理（1.5分）；3、数据脱敏（1.5分）；4、追责机制（1.5分）。 二、评审标准 ①完整性：方案须全面，对评审内容中的各项要求有详细描述及说明；②可实施性：切合本项目实际情况，实施步骤清晰、科学、合理；③针对性：方案能够紧扣项目实际情况，内容全面、科学合理、详细具体； 三、赋分标准，每满足一个评审标准得0.5分，满分6分，未提供相关内容的不计分，每有一项缺陷扣0.5分。（“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一、评审内容：供应商针对本项目提供应急预案，内容包含但不限于：1、针对入户纠纷（1.5分）；2、老人突发不适（1.5分）；3、特殊对象评估等场景制定全面规范的应急处置方案，响应及时（1.5分）。 二、评审标准 ①完整性：方案须全面，对评审内容中的各项要求有详细描述及说明；②可实施性：切合本项目实际情况，实施步骤清晰、科学、合理；③针对性：方案能够紧扣项目实际情况，内容全面、科学合理、详细具体； 三、赋分标准，每满足一个评审标准得0.5分，满分4.5分，未提供相关内容的不计分，每有一项缺陷扣0.5分。（“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针对本项目有明确的服务承诺和保证措施，包含但不限于①高质量服务保障（1.5分）；②严格按照相关技术规范和标准提供服务（1.5分）；③出具的成果均按照采购人要求，按时、保质保量提交，并承担相应法律责任（1.5分）。 二、评审标准 ①完整性：方案须全面，对评审内容中的各项要求有详细描述及说明；②可实施性：切合本项目实际情况，实施步骤清晰、科学、合理；③针对性：方案能够紧扣项目实际情况，内容全面、科学合理、详细具体； 三、赋分标准，每满足一个评审标准得0.5分，满分4.5分，未提供相关内容的不计分，每有一项缺陷扣0.5分。（“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人员保障</w:t>
            </w:r>
          </w:p>
        </w:tc>
        <w:tc>
          <w:tcPr>
            <w:tcW w:type="dxa" w:w="2492"/>
          </w:tcPr>
          <w:p>
            <w:pPr>
              <w:pStyle w:val="null3"/>
            </w:pPr>
            <w:r>
              <w:rPr>
                <w:rFonts w:ascii="仿宋_GB2312" w:hAnsi="仿宋_GB2312" w:cs="仿宋_GB2312" w:eastAsia="仿宋_GB2312"/>
              </w:rPr>
              <w:t>一、评审内容：评估机构应至少配备5名专/兼职评估人员，并具有相应的职业资格证书，其中执业（助理）医师或执业护士不少于1人、社会工作者不少于1人、养老护理员（三级 / 高级）不少于1人、专职人员不少于1人。 二、评审标准： 计入评审的每名评估人员须全部同时满足： ① 中专或高中及以上学历； ② 具备 3年及以上医疗护理、健康管理、养老服务、老年社会工作相关实务经历； ③ 持有老年人能力评估师职业技能等级证书，或持有老年人能力评估员培训考核合格证书（二选一即可）； ④专职评估人员须提供投标截止日前连续 3 个月社保证明；兼职评估人员须提供覆盖本项目服务周期的有效期内劳务服务合同。 评审材料要求： 须提供人员学历证书、工作年限证明、评估资格证书、社保证明（专职）/ 劳务合同（兼职）复印件并加盖投标人公章。 同一人员多证不重复计分、不跨岗位复用。 三、赋分标准： 1、投标人配置不少于 5 名符合上述全部标准的评估人员，且四类岗位结构全部满足，得基础分 10 分； 岗位结构每缺一类扣 3 分，扣完为止；人员资料不全、资质不达标、无法核验的，不计入有效评估人员。 2、在 5 名基础上，每增加 1 名完全符合上述评审标准评估人员得 2 分，最多再加 6分。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企业设备</w:t>
            </w:r>
          </w:p>
        </w:tc>
        <w:tc>
          <w:tcPr>
            <w:tcW w:type="dxa" w:w="2492"/>
          </w:tcPr>
          <w:p>
            <w:pPr>
              <w:pStyle w:val="null3"/>
            </w:pPr>
            <w:r>
              <w:rPr>
                <w:rFonts w:ascii="仿宋_GB2312" w:hAnsi="仿宋_GB2312" w:cs="仿宋_GB2312" w:eastAsia="仿宋_GB2312"/>
              </w:rPr>
              <w:t>一、评审内容 投标人拟投入本项目的评估设备，自有设备提供购置发票、企业资产台账；租赁设备提供租赁合同 + 租赁发票 + 设备权属证明，无佐证不得分。 1、具备便携式智能评估终端（含老年评估系统），得 2 分；未提供不得分。 2、具备专业体能测评设备（握力仪 + 柔韧性测试仪 + 步态测评工具）全套设备，得 2分；缺任意 1 项不得分。 3、具备生命体征测评设备（血压计、血氧仪、身高体重 BMI 一体机），得 2 分；缺任意 1 项不得分。 4、具备现场影像存证、便携式打印设备，满足入户留痕归档，得2分；未提供不得分。 5、具备适老化安全辅助设备及应急防护物资，得 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评估场所</w:t>
            </w:r>
          </w:p>
        </w:tc>
        <w:tc>
          <w:tcPr>
            <w:tcW w:type="dxa" w:w="2492"/>
          </w:tcPr>
          <w:p>
            <w:pPr>
              <w:pStyle w:val="null3"/>
            </w:pPr>
            <w:r>
              <w:rPr>
                <w:rFonts w:ascii="仿宋_GB2312" w:hAnsi="仿宋_GB2312" w:cs="仿宋_GB2312" w:eastAsia="仿宋_GB2312"/>
              </w:rPr>
              <w:t>本项目所指评估场所为：投标人自有或合法租赁的固定、独立、专用老年人标准化集中评估场地（区别于入户流动评估），用于老年人集中体能测评、认知测评、等级复核、争议复评、设备存放、资料归档等工作，依据场地配置情况计分： 1、具备专用独立评估场地，划分候评等候区、专业测评区、档案存放区、应急处置区，场地整洁安静、采光通风良好、适配适老化无障碍要求，得5分； 2、无独立专用评估场地、仅普通办公区域、无功能分区的不得分。 佐证要求：需提供场地产权证明或合法租赁合同、场地实景全貌照片（体现功能分区）。</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信息化平台对接与数据上报</w:t>
            </w:r>
          </w:p>
        </w:tc>
        <w:tc>
          <w:tcPr>
            <w:tcW w:type="dxa" w:w="2492"/>
          </w:tcPr>
          <w:p>
            <w:pPr>
              <w:pStyle w:val="null3"/>
            </w:pPr>
            <w:r>
              <w:rPr>
                <w:rFonts w:ascii="仿宋_GB2312" w:hAnsi="仿宋_GB2312" w:cs="仿宋_GB2312" w:eastAsia="仿宋_GB2312"/>
              </w:rPr>
              <w:t>评审内容：投标人响应陕西省智慧民政一体化平台老年人能力评估模块使用要求，具备平台实操、数据实时上报、电子化档案归集能力，评估数据纳入省级平台统一管理，实现全程可追溯、可核验。 评分标准： 1、投标人已开通陕西省智慧民政一体化平台老年人能力评估模块权限，近 12 个月有平台有效评估业务记录，并书面承诺本项目全部评估业务通过该平台完成信息录入、佐证材料上传、结果上报、电子档案归集，服从民政部门平台监管核查的，得 5 分。 证明材料：加盖公章的平台权限截图、近 12 个月业务台账截图，材料不全不予满分。 2、暂未取得平台操作权限，但提供正式书面承诺函，承诺中标后 5 个工作日内完成平台注册、权限申请、人员培训，所有评估数据、档案按规范实时上传省级平台；逾期未完成自愿承担违约责任的，得 3 分。 3、未提供有效承诺，不满足省级平台作业及数据上报要求的，本项得 0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提供近2023年1月1日至今类似评估服务项目业绩证明，每提供一份（中标通知书或合同协议书）得2.5分，本项最多得5分，未提供的本项不得分。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价格分采用低价优先法计算，即满足磋商文件要求且最后报价最低的投标单位的价格为评审基准价，其价格分为满分。其他投标单位的价格分统一按照下列公式计算：价格分=（评审基准价/最后磋商总报价）×20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详见附件：保证金格式.docx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详见附件：项目服务实施方案.docx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