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版本号：SCZA2026-CS-1887-001.1B120260819001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污染源智能巡查服务项目(二次)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SCZA2026-CS-1887-001.1B1</w:t>
      </w:r>
      <w:r>
        <w:br/>
      </w:r>
      <w:r>
        <w:br/>
      </w:r>
      <w:r>
        <w:br/>
      </w:r>
    </w:p>
    <w:p>
      <w:pPr>
        <w:pStyle w:val="null3"/>
        <w:jc w:val="center"/>
        <w:outlineLvl w:val="2"/>
      </w:pPr>
      <w:r>
        <w:rPr>
          <w:rFonts w:ascii="仿宋_GB2312" w:hAnsi="仿宋_GB2312" w:cs="仿宋_GB2312" w:eastAsia="仿宋_GB2312"/>
          <w:sz w:val="28"/>
          <w:b/>
        </w:rPr>
        <w:t>西安高新技术产业开发区生态环境局</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西安高新技术产业开发区生态环境局</w:t>
      </w:r>
      <w:r>
        <w:rPr>
          <w:rFonts w:ascii="仿宋_GB2312" w:hAnsi="仿宋_GB2312" w:cs="仿宋_GB2312" w:eastAsia="仿宋_GB2312"/>
        </w:rPr>
        <w:t>委托，拟对</w:t>
      </w:r>
      <w:r>
        <w:rPr>
          <w:rFonts w:ascii="仿宋_GB2312" w:hAnsi="仿宋_GB2312" w:cs="仿宋_GB2312" w:eastAsia="仿宋_GB2312"/>
        </w:rPr>
        <w:t>污染源智能巡查服务项目(二次)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SCZA2026-CS-1887-001.1B1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污染源智能巡查服务项目(二次)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污染源智能巡查服务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采购包1（污染源智能巡查服务项目）：属于专门面向中小企业采购。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供应商在递交响应文件截止时间前被“信用中国”网站（www.creditchina.gov.cn）和中国政府采购网（www.ccgp.gov.cn）上被列入失信被执行人、重大税收违法失信主体、政府采购严重违法失信行为记录名单的，不得参加磋商</w:t>
      </w:r>
    </w:p>
    <w:p>
      <w:pPr>
        <w:pStyle w:val="null3"/>
      </w:pPr>
      <w:r>
        <w:rPr>
          <w:rFonts w:ascii="仿宋_GB2312" w:hAnsi="仿宋_GB2312" w:cs="仿宋_GB2312" w:eastAsia="仿宋_GB2312"/>
        </w:rPr>
        <w:t>2、主体证明文件：（1）投标人是企业（包括合伙企业)的，应提供其在市场监督管理部门注册的有效“营业执照”的复印件；（2）投标人是事业单位的，应提供其有效的“事业单位法人证书”复印件；（3）投标人是非企业专业服务机构的，应提供其有效的“执业许可证”复印件；（4）投标人是民办非企业单位的，应提供其有效的登记证书复印件；（5）投标人是个体工商户的，应提供其有效的“营业执照”复印件；（6）投标人是自然人的，应提供其有效的自然人身份证明复印件。</w:t>
      </w:r>
    </w:p>
    <w:p>
      <w:pPr>
        <w:pStyle w:val="null3"/>
      </w:pPr>
      <w:r>
        <w:rPr>
          <w:rFonts w:ascii="仿宋_GB2312" w:hAnsi="仿宋_GB2312" w:cs="仿宋_GB2312" w:eastAsia="仿宋_GB2312"/>
        </w:rPr>
        <w:t>3、特定资格：供应商具有有效的《民用无人驾驶航空器运营合格证》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西安高新技术产业开发区生态环境局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西安市长安区丝路创智谷5号楼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18992851230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马亚敏、白国锋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029-85266644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代理服务费收费标准：参照《国家计委关于印发&lt;招标代理服务收费管理暂行办法&gt;的通知》（计价格〔2002〕1980号）有关规定计取。 中标单位的招标代理服务费交纳信息银行户名：陕西省采购招标有限责任公司开户银行：中国光大银行西安友谊路支行账号：78560188000095264联系人：财务部联系电话：029-85263975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西安高新技术产业开发区生态环境局</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西安高新技术产业开发区生态环境局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西安高新技术产业开发区生态环境局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二、供应商将在采购项目实施过程中采用自有或者第三方知识成果的，采购项目涉及采购标的的知识产权相关事宜由采购人结合项目实际自主确认或协商约定，具体如下： 采购人拥有在本项目实施过程中产生的设计知识产权等，供应商设计资料不得侵犯第三方知识产权等。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以签订的合同为准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地址：西安市高新区锦业路1号都市之门C座9层综合办公室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污染源智能巡查服务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其他生态环境保护服务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标的名称：其他生态环境保护服务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2553"/>
            </w:tblGrid>
            <w:tr>
              <w:tc>
                <w:tcPr>
                  <w:tcW w:type="dxa" w:w="2553"/>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为深入贯彻落实生态环境保护工作相关决策部署，破解传统人工巡查盲区多、效率低、排查不全面、隐患发现不及时等工作难题，本项目通过购买服务的方式，利用高性能先进设备开展区域内污染源排查与管控，包括空气污染指标分析、污染源飞行溯源、河流及水源地智能巡检、农村黑臭水体排查、生态环境执法排查等任务，借助科技化、智能化手段实施污染源智能巡查，提升生态环境监管工作质效。</w:t>
                  </w:r>
                </w:p>
                <w:p>
                  <w:pPr>
                    <w:pStyle w:val="null3"/>
                  </w:pPr>
                  <w:r>
                    <w:rPr>
                      <w:rFonts w:ascii="仿宋_GB2312" w:hAnsi="仿宋_GB2312" w:cs="仿宋_GB2312" w:eastAsia="仿宋_GB2312"/>
                    </w:rPr>
                    <w:t>二、采购内容</w:t>
                  </w:r>
                </w:p>
                <w:p>
                  <w:pPr>
                    <w:pStyle w:val="null3"/>
                  </w:pPr>
                  <w:r>
                    <w:rPr>
                      <w:rFonts w:ascii="仿宋_GB2312" w:hAnsi="仿宋_GB2312" w:cs="仿宋_GB2312" w:eastAsia="仿宋_GB2312"/>
                    </w:rPr>
                    <w:t>供应商按照要求对西安高新区区域开展污染源智能巡查工作，进行无人机影像拍摄、监测数据采集、影像建模及数据分析，配合采购方实现对区域污染源的科学溯源与精准管控。</w:t>
                  </w:r>
                </w:p>
                <w:p>
                  <w:pPr>
                    <w:pStyle w:val="null3"/>
                  </w:pPr>
                  <w:r>
                    <w:rPr>
                      <w:rFonts w:ascii="仿宋_GB2312" w:hAnsi="仿宋_GB2312" w:cs="仿宋_GB2312" w:eastAsia="仿宋_GB2312"/>
                    </w:rPr>
                    <w:t>项目预算50万元。</w:t>
                  </w:r>
                </w:p>
                <w:p>
                  <w:pPr>
                    <w:pStyle w:val="null3"/>
                  </w:pPr>
                  <w:r>
                    <w:rPr>
                      <w:rFonts w:ascii="仿宋_GB2312" w:hAnsi="仿宋_GB2312" w:cs="仿宋_GB2312" w:eastAsia="仿宋_GB2312"/>
                    </w:rPr>
                    <w:t>项目入选供应商1个，实施周期一年。</w:t>
                  </w:r>
                </w:p>
                <w:p>
                  <w:pPr>
                    <w:pStyle w:val="null3"/>
                  </w:pPr>
                  <w:r>
                    <w:rPr>
                      <w:rFonts w:ascii="仿宋_GB2312" w:hAnsi="仿宋_GB2312" w:cs="仿宋_GB2312" w:eastAsia="仿宋_GB2312"/>
                    </w:rPr>
                    <w:t>三、工作要求</w:t>
                  </w:r>
                </w:p>
                <w:p>
                  <w:pPr>
                    <w:pStyle w:val="null3"/>
                  </w:pPr>
                  <w:r>
                    <w:rPr>
                      <w:rFonts w:ascii="仿宋_GB2312" w:hAnsi="仿宋_GB2312" w:cs="仿宋_GB2312" w:eastAsia="仿宋_GB2312"/>
                    </w:rPr>
                    <w:t>1、服务团队：供应商应当建立本地化服务团队，其中项目负责人1人，工作人员不少于2人，巡查车辆不少于1辆。负责现场设备运维、影像建模、飞行数据、拍摄照片、视频及报告编制。服务所需设备、软件由供应商自行负责。</w:t>
                  </w:r>
                </w:p>
                <w:p>
                  <w:pPr>
                    <w:pStyle w:val="null3"/>
                  </w:pPr>
                  <w:r>
                    <w:rPr>
                      <w:rFonts w:ascii="仿宋_GB2312" w:hAnsi="仿宋_GB2312" w:cs="仿宋_GB2312" w:eastAsia="仿宋_GB2312"/>
                    </w:rPr>
                    <w:t>2、时限要求：供应商应当充分保证巡查工作及结果反馈的时效性。单次巡查任务完成后须在2日内报送巡查及数据分析报告。</w:t>
                  </w:r>
                </w:p>
                <w:p>
                  <w:pPr>
                    <w:pStyle w:val="null3"/>
                  </w:pPr>
                  <w:r>
                    <w:rPr>
                      <w:rFonts w:ascii="仿宋_GB2312" w:hAnsi="仿宋_GB2312" w:cs="仿宋_GB2312" w:eastAsia="仿宋_GB2312"/>
                    </w:rPr>
                    <w:t>3、应急响应：针对突发情况进行应急检查，应当1小时内到场并立刻开展排查，应急巡查报告须在次日内报送。</w:t>
                  </w:r>
                </w:p>
                <w:p>
                  <w:pPr>
                    <w:pStyle w:val="null3"/>
                  </w:pPr>
                  <w:r>
                    <w:rPr>
                      <w:rFonts w:ascii="仿宋_GB2312" w:hAnsi="仿宋_GB2312" w:cs="仿宋_GB2312" w:eastAsia="仿宋_GB2312"/>
                    </w:rPr>
                    <w:t>4、保密规定：供应商履行与其服务或工作内容相应的保密职责，未经委托方许可不得擅自向第三方提供任何资料。</w:t>
                  </w:r>
                </w:p>
                <w:p>
                  <w:pPr>
                    <w:pStyle w:val="null3"/>
                  </w:pPr>
                  <w:r>
                    <w:rPr>
                      <w:rFonts w:ascii="仿宋_GB2312" w:hAnsi="仿宋_GB2312" w:cs="仿宋_GB2312" w:eastAsia="仿宋_GB2312"/>
                    </w:rPr>
                    <w:t>5、其他需求：</w:t>
                  </w:r>
                </w:p>
                <w:p>
                  <w:pPr>
                    <w:pStyle w:val="null3"/>
                  </w:pPr>
                  <w:r>
                    <w:rPr>
                      <w:rFonts w:ascii="仿宋_GB2312" w:hAnsi="仿宋_GB2312" w:cs="仿宋_GB2312" w:eastAsia="仿宋_GB2312"/>
                    </w:rPr>
                    <w:t>(1)供应商应确保飞行活动合法合规。无人机按照规定在民航部门完成注册登记，无人机驾驶员持证上岗，无人机飞行活动提前向空管部门进行备案。</w:t>
                  </w:r>
                </w:p>
                <w:p>
                  <w:pPr>
                    <w:pStyle w:val="null3"/>
                  </w:pPr>
                  <w:r>
                    <w:rPr>
                      <w:rFonts w:ascii="仿宋_GB2312" w:hAnsi="仿宋_GB2312" w:cs="仿宋_GB2312" w:eastAsia="仿宋_GB2312"/>
                    </w:rPr>
                    <w:t>(2)供应商应充分保障飞行安全，避免飞行事故的发生。</w:t>
                  </w:r>
                </w:p>
                <w:p>
                  <w:pPr>
                    <w:pStyle w:val="null3"/>
                  </w:pPr>
                  <w:r>
                    <w:rPr>
                      <w:rFonts w:ascii="仿宋_GB2312" w:hAnsi="仿宋_GB2312" w:cs="仿宋_GB2312" w:eastAsia="仿宋_GB2312"/>
                    </w:rPr>
                    <w:t>(3)供应商应充分保证传输数据的稳定性、安全性、保密性。</w:t>
                  </w:r>
                </w:p>
                <w:p>
                  <w:pPr>
                    <w:pStyle w:val="null3"/>
                  </w:pPr>
                  <w:r>
                    <w:rPr>
                      <w:rFonts w:ascii="仿宋_GB2312" w:hAnsi="仿宋_GB2312" w:cs="仿宋_GB2312" w:eastAsia="仿宋_GB2312"/>
                    </w:rPr>
                    <w:t>四、设备技术要求</w:t>
                  </w:r>
                </w:p>
                <w:p>
                  <w:pPr>
                    <w:pStyle w:val="null3"/>
                  </w:pPr>
                  <w:r>
                    <w:rPr>
                      <w:rFonts w:ascii="仿宋_GB2312" w:hAnsi="仿宋_GB2312" w:cs="仿宋_GB2312" w:eastAsia="仿宋_GB2312"/>
                    </w:rPr>
                    <w:t>本项目巡查设备至少包括飞行平台、RTK定位模块、可见光相机、热红外相机、多光谱传感器、气体传感器、水质采样器，具体指标要求如下：</w:t>
                  </w:r>
                </w:p>
                <w:p>
                  <w:pPr>
                    <w:pStyle w:val="null3"/>
                  </w:pPr>
                  <w:r>
                    <w:rPr>
                      <w:rFonts w:ascii="仿宋_GB2312" w:hAnsi="仿宋_GB2312" w:cs="仿宋_GB2312" w:eastAsia="仿宋_GB2312"/>
                    </w:rPr>
                    <w:t>（1）飞行平台</w:t>
                  </w:r>
                </w:p>
                <w:p>
                  <w:pPr>
                    <w:pStyle w:val="null3"/>
                  </w:pPr>
                  <w:r>
                    <w:rPr>
                      <w:rFonts w:ascii="仿宋_GB2312" w:hAnsi="仿宋_GB2312" w:cs="仿宋_GB2312" w:eastAsia="仿宋_GB2312"/>
                    </w:rPr>
                    <w:t>具备垂直起降、悬停稳定及灵活操作能力，主要性能指标应满足以下要求：</w:t>
                  </w:r>
                </w:p>
                <w:p>
                  <w:pPr>
                    <w:pStyle w:val="null3"/>
                  </w:pPr>
                  <w:r>
                    <w:rPr>
                      <w:rFonts w:ascii="仿宋_GB2312" w:hAnsi="仿宋_GB2312" w:cs="仿宋_GB2312" w:eastAsia="仿宋_GB2312"/>
                    </w:rPr>
                    <w:t>任务载重一般不小于 2 kg；</w:t>
                  </w:r>
                </w:p>
                <w:p>
                  <w:pPr>
                    <w:pStyle w:val="null3"/>
                  </w:pPr>
                  <w:r>
                    <w:rPr>
                      <w:rFonts w:ascii="仿宋_GB2312" w:hAnsi="仿宋_GB2312" w:cs="仿宋_GB2312" w:eastAsia="仿宋_GB2312"/>
                    </w:rPr>
                    <w:t>在-10℃-40 ℃温度环境中能正常工作；</w:t>
                  </w:r>
                </w:p>
                <w:p>
                  <w:pPr>
                    <w:pStyle w:val="null3"/>
                  </w:pPr>
                  <w:r>
                    <w:rPr>
                      <w:rFonts w:ascii="仿宋_GB2312" w:hAnsi="仿宋_GB2312" w:cs="仿宋_GB2312" w:eastAsia="仿宋_GB2312"/>
                    </w:rPr>
                    <w:t>续航时间一般不小于40 min；</w:t>
                  </w:r>
                </w:p>
                <w:p>
                  <w:pPr>
                    <w:pStyle w:val="null3"/>
                  </w:pPr>
                  <w:r>
                    <w:rPr>
                      <w:rFonts w:ascii="仿宋_GB2312" w:hAnsi="仿宋_GB2312" w:cs="仿宋_GB2312" w:eastAsia="仿宋_GB2312"/>
                    </w:rPr>
                    <w:t>导航精度小于等于5m；</w:t>
                  </w:r>
                </w:p>
                <w:p>
                  <w:pPr>
                    <w:pStyle w:val="null3"/>
                  </w:pPr>
                  <w:r>
                    <w:rPr>
                      <w:rFonts w:ascii="仿宋_GB2312" w:hAnsi="仿宋_GB2312" w:cs="仿宋_GB2312" w:eastAsia="仿宋_GB2312"/>
                    </w:rPr>
                    <w:t>抗风能力应大于 5级。</w:t>
                  </w:r>
                </w:p>
                <w:p>
                  <w:pPr>
                    <w:pStyle w:val="null3"/>
                  </w:pPr>
                  <w:r>
                    <w:rPr>
                      <w:rFonts w:ascii="仿宋_GB2312" w:hAnsi="仿宋_GB2312" w:cs="仿宋_GB2312" w:eastAsia="仿宋_GB2312"/>
                    </w:rPr>
                    <w:t>（2）RTK定位模块</w:t>
                  </w:r>
                </w:p>
                <w:p>
                  <w:pPr>
                    <w:pStyle w:val="null3"/>
                  </w:pPr>
                  <w:r>
                    <w:rPr>
                      <w:rFonts w:ascii="仿宋_GB2312" w:hAnsi="仿宋_GB2312" w:cs="仿宋_GB2312" w:eastAsia="仿宋_GB2312"/>
                    </w:rPr>
                    <w:t>RTK定位模块与可见光相机、热红外相机、多光谱传感器等任务设备配合使用，为影像数据提供精确的位置信息，其主要性能指标需满足以下要求：</w:t>
                  </w:r>
                </w:p>
                <w:p>
                  <w:pPr>
                    <w:pStyle w:val="null3"/>
                  </w:pPr>
                  <w:r>
                    <w:rPr>
                      <w:rFonts w:ascii="仿宋_GB2312" w:hAnsi="仿宋_GB2312" w:cs="仿宋_GB2312" w:eastAsia="仿宋_GB2312"/>
                    </w:rPr>
                    <w:t>RTK固定解水平精度≤1cm+1ppm,垂直精度  ≤2cm+1ppm；</w:t>
                  </w:r>
                </w:p>
                <w:p>
                  <w:pPr>
                    <w:pStyle w:val="null3"/>
                  </w:pPr>
                  <w:r>
                    <w:rPr>
                      <w:rFonts w:ascii="仿宋_GB2312" w:hAnsi="仿宋_GB2312" w:cs="仿宋_GB2312" w:eastAsia="仿宋_GB2312"/>
                    </w:rPr>
                    <w:t>采用三频多卫星系统接收；</w:t>
                  </w:r>
                </w:p>
                <w:p>
                  <w:pPr>
                    <w:pStyle w:val="null3"/>
                  </w:pPr>
                  <w:r>
                    <w:rPr>
                      <w:rFonts w:ascii="仿宋_GB2312" w:hAnsi="仿宋_GB2312" w:cs="仿宋_GB2312" w:eastAsia="仿宋_GB2312"/>
                    </w:rPr>
                    <w:t>内置CGCS2000、WGS84坐标系转换功能，支持拍照时间戳与定位数据精准同步。</w:t>
                  </w:r>
                </w:p>
                <w:p>
                  <w:pPr>
                    <w:pStyle w:val="null3"/>
                  </w:pPr>
                  <w:r>
                    <w:rPr>
                      <w:rFonts w:ascii="仿宋_GB2312" w:hAnsi="仿宋_GB2312" w:cs="仿宋_GB2312" w:eastAsia="仿宋_GB2312"/>
                    </w:rPr>
                    <w:t>（3）传感器及任务载荷</w:t>
                  </w:r>
                </w:p>
                <w:p>
                  <w:pPr>
                    <w:pStyle w:val="null3"/>
                  </w:pPr>
                  <w:r>
                    <w:rPr>
                      <w:rFonts w:ascii="仿宋_GB2312" w:hAnsi="仿宋_GB2312" w:cs="仿宋_GB2312" w:eastAsia="仿宋_GB2312"/>
                    </w:rPr>
                    <w:t>①可见光相机</w:t>
                  </w:r>
                </w:p>
                <w:p>
                  <w:pPr>
                    <w:pStyle w:val="null3"/>
                  </w:pPr>
                  <w:r>
                    <w:rPr>
                      <w:rFonts w:ascii="仿宋_GB2312" w:hAnsi="仿宋_GB2312" w:cs="仿宋_GB2312" w:eastAsia="仿宋_GB2312"/>
                    </w:rPr>
                    <w:t>可见光相机主要性能指标要求如下：</w:t>
                  </w:r>
                </w:p>
                <w:p>
                  <w:pPr>
                    <w:pStyle w:val="null3"/>
                  </w:pPr>
                  <w:r>
                    <w:rPr>
                      <w:rFonts w:ascii="仿宋_GB2312" w:hAnsi="仿宋_GB2312" w:cs="仿宋_GB2312" w:eastAsia="仿宋_GB2312"/>
                    </w:rPr>
                    <w:t>有效像素不低于 2000 万；</w:t>
                  </w:r>
                </w:p>
                <w:p>
                  <w:pPr>
                    <w:pStyle w:val="null3"/>
                  </w:pPr>
                  <w:r>
                    <w:rPr>
                      <w:rFonts w:ascii="仿宋_GB2312" w:hAnsi="仿宋_GB2312" w:cs="仿宋_GB2312" w:eastAsia="仿宋_GB2312"/>
                    </w:rPr>
                    <w:t>最高快门速度不低于 1/800 s；</w:t>
                  </w:r>
                </w:p>
                <w:p>
                  <w:pPr>
                    <w:pStyle w:val="null3"/>
                  </w:pPr>
                  <w:r>
                    <w:rPr>
                      <w:rFonts w:ascii="仿宋_GB2312" w:hAnsi="仿宋_GB2312" w:cs="仿宋_GB2312" w:eastAsia="仿宋_GB2312"/>
                    </w:rPr>
                    <w:t>在 -10℃~40℃ 温度环境中能正常工作；</w:t>
                  </w:r>
                </w:p>
                <w:p>
                  <w:pPr>
                    <w:pStyle w:val="null3"/>
                  </w:pPr>
                  <w:r>
                    <w:rPr>
                      <w:rFonts w:ascii="仿宋_GB2312" w:hAnsi="仿宋_GB2312" w:cs="仿宋_GB2312" w:eastAsia="仿宋_GB2312"/>
                    </w:rPr>
                    <w:t>影像获取速率优于 1 幅/s；</w:t>
                  </w:r>
                </w:p>
                <w:p>
                  <w:pPr>
                    <w:pStyle w:val="null3"/>
                  </w:pPr>
                  <w:r>
                    <w:rPr>
                      <w:rFonts w:ascii="仿宋_GB2312" w:hAnsi="仿宋_GB2312" w:cs="仿宋_GB2312" w:eastAsia="仿宋_GB2312"/>
                    </w:rPr>
                    <w:t>数字变焦≥28倍；</w:t>
                  </w:r>
                </w:p>
                <w:p>
                  <w:pPr>
                    <w:pStyle w:val="null3"/>
                  </w:pPr>
                  <w:r>
                    <w:rPr>
                      <w:rFonts w:ascii="仿宋_GB2312" w:hAnsi="仿宋_GB2312" w:cs="仿宋_GB2312" w:eastAsia="仿宋_GB2312"/>
                    </w:rPr>
                    <w:t>相机镜头应为定焦镜头，且对焦无限远。</w:t>
                  </w:r>
                </w:p>
                <w:p>
                  <w:pPr>
                    <w:pStyle w:val="null3"/>
                  </w:pPr>
                  <w:r>
                    <w:rPr>
                      <w:rFonts w:ascii="仿宋_GB2312" w:hAnsi="仿宋_GB2312" w:cs="仿宋_GB2312" w:eastAsia="仿宋_GB2312"/>
                    </w:rPr>
                    <w:t>②热红外相机</w:t>
                  </w:r>
                </w:p>
                <w:p>
                  <w:pPr>
                    <w:pStyle w:val="null3"/>
                  </w:pPr>
                  <w:r>
                    <w:rPr>
                      <w:rFonts w:ascii="仿宋_GB2312" w:hAnsi="仿宋_GB2312" w:cs="仿宋_GB2312" w:eastAsia="仿宋_GB2312"/>
                    </w:rPr>
                    <w:t>热红外相机主要性能指标要求如下：</w:t>
                  </w:r>
                </w:p>
                <w:p>
                  <w:pPr>
                    <w:pStyle w:val="null3"/>
                  </w:pPr>
                  <w:r>
                    <w:rPr>
                      <w:rFonts w:ascii="仿宋_GB2312" w:hAnsi="仿宋_GB2312" w:cs="仿宋_GB2312" w:eastAsia="仿宋_GB2312"/>
                    </w:rPr>
                    <w:t>热红外传感器像素不低于 30 万；</w:t>
                  </w:r>
                </w:p>
                <w:p>
                  <w:pPr>
                    <w:pStyle w:val="null3"/>
                  </w:pPr>
                  <w:r>
                    <w:rPr>
                      <w:rFonts w:ascii="仿宋_GB2312" w:hAnsi="仿宋_GB2312" w:cs="仿宋_GB2312" w:eastAsia="仿宋_GB2312"/>
                    </w:rPr>
                    <w:t>温度测量范围不小于 -10℃~110℃；</w:t>
                  </w:r>
                </w:p>
                <w:p>
                  <w:pPr>
                    <w:pStyle w:val="null3"/>
                  </w:pPr>
                  <w:r>
                    <w:rPr>
                      <w:rFonts w:ascii="仿宋_GB2312" w:hAnsi="仿宋_GB2312" w:cs="仿宋_GB2312" w:eastAsia="仿宋_GB2312"/>
                    </w:rPr>
                    <w:t>测温精度应在 ±2℃ 范围之内。</w:t>
                  </w:r>
                </w:p>
                <w:p>
                  <w:pPr>
                    <w:pStyle w:val="null3"/>
                  </w:pPr>
                  <w:r>
                    <w:rPr>
                      <w:rFonts w:ascii="仿宋_GB2312" w:hAnsi="仿宋_GB2312" w:cs="仿宋_GB2312" w:eastAsia="仿宋_GB2312"/>
                    </w:rPr>
                    <w:t>③多光谱传感器</w:t>
                  </w:r>
                </w:p>
                <w:p>
                  <w:pPr>
                    <w:pStyle w:val="null3"/>
                  </w:pPr>
                  <w:r>
                    <w:rPr>
                      <w:rFonts w:ascii="仿宋_GB2312" w:hAnsi="仿宋_GB2312" w:cs="仿宋_GB2312" w:eastAsia="仿宋_GB2312"/>
                    </w:rPr>
                    <w:t>多光谱传感器主要性能指标要求如下：</w:t>
                  </w:r>
                </w:p>
                <w:p>
                  <w:pPr>
                    <w:pStyle w:val="null3"/>
                  </w:pPr>
                  <w:r>
                    <w:rPr>
                      <w:rFonts w:ascii="仿宋_GB2312" w:hAnsi="仿宋_GB2312" w:cs="仿宋_GB2312" w:eastAsia="仿宋_GB2312"/>
                    </w:rPr>
                    <w:t>波段数量应不少于 4 个；</w:t>
                  </w:r>
                </w:p>
                <w:p>
                  <w:pPr>
                    <w:pStyle w:val="null3"/>
                  </w:pPr>
                  <w:r>
                    <w:rPr>
                      <w:rFonts w:ascii="仿宋_GB2312" w:hAnsi="仿宋_GB2312" w:cs="仿宋_GB2312" w:eastAsia="仿宋_GB2312"/>
                    </w:rPr>
                    <w:t>地面采样距离（GSD）需达到 0.1 m~1 m；</w:t>
                  </w:r>
                </w:p>
                <w:p>
                  <w:pPr>
                    <w:pStyle w:val="null3"/>
                  </w:pPr>
                  <w:r>
                    <w:rPr>
                      <w:rFonts w:ascii="仿宋_GB2312" w:hAnsi="仿宋_GB2312" w:cs="仿宋_GB2312" w:eastAsia="仿宋_GB2312"/>
                    </w:rPr>
                    <w:t>辐射分辨率应达到 12 bit 及以上。</w:t>
                  </w:r>
                </w:p>
                <w:p>
                  <w:pPr>
                    <w:pStyle w:val="null3"/>
                  </w:pPr>
                  <w:r>
                    <w:rPr>
                      <w:rFonts w:ascii="仿宋_GB2312" w:hAnsi="仿宋_GB2312" w:cs="仿宋_GB2312" w:eastAsia="仿宋_GB2312"/>
                    </w:rPr>
                    <w:t>④气体传感器</w:t>
                  </w:r>
                </w:p>
                <w:p>
                  <w:pPr>
                    <w:pStyle w:val="null3"/>
                  </w:pPr>
                  <w:r>
                    <w:rPr>
                      <w:rFonts w:ascii="仿宋_GB2312" w:hAnsi="仿宋_GB2312" w:cs="仿宋_GB2312" w:eastAsia="仿宋_GB2312"/>
                    </w:rPr>
                    <w:t>主要用于检测大气中的各种污染气体浓度。气体传感器主要性能指标要求如下：</w:t>
                  </w:r>
                </w:p>
                <w:p>
                  <w:pPr>
                    <w:pStyle w:val="null3"/>
                  </w:pPr>
                  <w:r>
                    <w:rPr>
                      <w:rFonts w:ascii="仿宋_GB2312" w:hAnsi="仿宋_GB2312" w:cs="仿宋_GB2312" w:eastAsia="仿宋_GB2312"/>
                    </w:rPr>
                    <w:t>支持组配工作，多台气体传感器的数据可以在一台或多台可视化终端展示；</w:t>
                  </w:r>
                </w:p>
                <w:p>
                  <w:pPr>
                    <w:pStyle w:val="null3"/>
                  </w:pPr>
                  <w:r>
                    <w:rPr>
                      <w:rFonts w:ascii="仿宋_GB2312" w:hAnsi="仿宋_GB2312" w:cs="仿宋_GB2312" w:eastAsia="仿宋_GB2312"/>
                    </w:rPr>
                    <w:t>工作温度：-20℃~60℃；</w:t>
                  </w:r>
                </w:p>
                <w:p>
                  <w:pPr>
                    <w:pStyle w:val="null3"/>
                  </w:pPr>
                  <w:r>
                    <w:rPr>
                      <w:rFonts w:ascii="仿宋_GB2312" w:hAnsi="仿宋_GB2312" w:cs="仿宋_GB2312" w:eastAsia="仿宋_GB2312"/>
                    </w:rPr>
                    <w:t>具备主动式气泵采样系统；</w:t>
                  </w:r>
                </w:p>
                <w:p>
                  <w:pPr>
                    <w:pStyle w:val="null3"/>
                  </w:pPr>
                  <w:r>
                    <w:rPr>
                      <w:rFonts w:ascii="仿宋_GB2312" w:hAnsi="仿宋_GB2312" w:cs="仿宋_GB2312" w:eastAsia="仿宋_GB2312"/>
                    </w:rPr>
                    <w:t>至少可检测空气质量6项及VOCs参数。</w:t>
                  </w:r>
                </w:p>
                <w:p>
                  <w:pPr>
                    <w:pStyle w:val="null3"/>
                  </w:pPr>
                  <w:r>
                    <w:rPr>
                      <w:rFonts w:ascii="仿宋_GB2312" w:hAnsi="仿宋_GB2312" w:cs="仿宋_GB2312" w:eastAsia="仿宋_GB2312"/>
                    </w:rPr>
                    <w:t>⑤水质采样器</w:t>
                  </w:r>
                </w:p>
                <w:p>
                  <w:pPr>
                    <w:pStyle w:val="null3"/>
                  </w:pPr>
                  <w:r>
                    <w:rPr>
                      <w:rFonts w:ascii="仿宋_GB2312" w:hAnsi="仿宋_GB2312" w:cs="仿宋_GB2312" w:eastAsia="仿宋_GB2312"/>
                    </w:rPr>
                    <w:t>可采集水体样本，以便在实验室中分析水质的各种理化指标，水质采样器主要性能指标要求如下：</w:t>
                  </w:r>
                </w:p>
                <w:p>
                  <w:pPr>
                    <w:pStyle w:val="null3"/>
                  </w:pPr>
                  <w:r>
                    <w:rPr>
                      <w:rFonts w:ascii="仿宋_GB2312" w:hAnsi="仿宋_GB2312" w:cs="仿宋_GB2312" w:eastAsia="仿宋_GB2312"/>
                    </w:rPr>
                    <w:t>容量不小于1L；</w:t>
                  </w:r>
                </w:p>
                <w:p>
                  <w:pPr>
                    <w:pStyle w:val="null3"/>
                  </w:pPr>
                  <w:r>
                    <w:rPr>
                      <w:rFonts w:ascii="仿宋_GB2312" w:hAnsi="仿宋_GB2312" w:cs="仿宋_GB2312" w:eastAsia="仿宋_GB2312"/>
                    </w:rPr>
                    <w:t>材质具有良好的化学稳定性，避免对水样造成污染；</w:t>
                  </w:r>
                </w:p>
                <w:p>
                  <w:pPr>
                    <w:pStyle w:val="null3"/>
                  </w:pPr>
                  <w:r>
                    <w:rPr>
                      <w:rFonts w:ascii="仿宋_GB2312" w:hAnsi="仿宋_GB2312" w:cs="仿宋_GB2312" w:eastAsia="仿宋_GB2312"/>
                    </w:rPr>
                    <w:t>在-5℃~50℃温度环境中能正常工作。</w:t>
                  </w:r>
                </w:p>
                <w:p>
                  <w:pPr>
                    <w:pStyle w:val="null3"/>
                  </w:pPr>
                  <w:r>
                    <w:rPr>
                      <w:rFonts w:ascii="仿宋_GB2312" w:hAnsi="仿宋_GB2312" w:cs="仿宋_GB2312" w:eastAsia="仿宋_GB2312"/>
                    </w:rPr>
                    <w:t>（4）地面保障设备</w:t>
                  </w:r>
                </w:p>
                <w:p>
                  <w:pPr>
                    <w:pStyle w:val="null3"/>
                  </w:pPr>
                  <w:r>
                    <w:rPr>
                      <w:rFonts w:ascii="仿宋_GB2312" w:hAnsi="仿宋_GB2312" w:cs="仿宋_GB2312" w:eastAsia="仿宋_GB2312"/>
                    </w:rPr>
                    <w:t>地面保障设备是无人机环境遥感监测的基本保障，包括包装运输箱、保障安全工作所需要的灭火器、 风速风向仪、户外电源等设备。</w:t>
                  </w:r>
                </w:p>
                <w:p>
                  <w:pPr>
                    <w:pStyle w:val="null3"/>
                  </w:pPr>
                  <w:r>
                    <w:rPr>
                      <w:rFonts w:ascii="仿宋_GB2312" w:hAnsi="仿宋_GB2312" w:cs="仿宋_GB2312" w:eastAsia="仿宋_GB2312"/>
                    </w:rPr>
                    <w:t>备品配件满足两组同型号容量的备用电池；飞行器配备一组同型号备用螺旋桨。</w:t>
                  </w:r>
                </w:p>
                <w:p>
                  <w:pPr>
                    <w:pStyle w:val="null3"/>
                  </w:pPr>
                  <w:r>
                    <w:rPr>
                      <w:rFonts w:ascii="仿宋_GB2312" w:hAnsi="仿宋_GB2312" w:cs="仿宋_GB2312" w:eastAsia="仿宋_GB2312"/>
                    </w:rPr>
                    <w:t>（5）污染源二维影像及三维建模</w:t>
                  </w:r>
                </w:p>
                <w:p>
                  <w:pPr>
                    <w:pStyle w:val="null3"/>
                  </w:pPr>
                  <w:r>
                    <w:rPr>
                      <w:rFonts w:ascii="仿宋_GB2312" w:hAnsi="仿宋_GB2312" w:cs="仿宋_GB2312" w:eastAsia="仿宋_GB2312"/>
                    </w:rPr>
                    <w:t>无人机污染源影像建模三维数据可真实反映地物的外观、位置、高度等属性；借助无人机快速采集影像数据，实现全自动化三维建模，带有空间位置信息的可量测影像数据，能同时叠加污染排放源数据，提供污染源影像与污染指标数据紧密结合的服务成果。</w:t>
                  </w:r>
                </w:p>
                <w:p>
                  <w:pPr>
                    <w:pStyle w:val="null3"/>
                  </w:pPr>
                  <w:r>
                    <w:rPr>
                      <w:rFonts w:ascii="仿宋_GB2312" w:hAnsi="仿宋_GB2312" w:cs="仿宋_GB2312" w:eastAsia="仿宋_GB2312"/>
                    </w:rPr>
                    <w:t>五、服务成果：</w:t>
                  </w:r>
                </w:p>
                <w:p>
                  <w:pPr>
                    <w:pStyle w:val="null3"/>
                  </w:pPr>
                  <w:r>
                    <w:rPr>
                      <w:rFonts w:ascii="仿宋_GB2312" w:hAnsi="仿宋_GB2312" w:cs="仿宋_GB2312" w:eastAsia="仿宋_GB2312"/>
                    </w:rPr>
                    <w:t>每次巡查服务任务完成后，供应商提供详尽的巡查及数据分析报告，并定期编写工作汇报。具体内容如下：</w:t>
                  </w:r>
                </w:p>
                <w:tbl>
                  <w:tblPr>
                    <w:tblBorders>
                      <w:top w:val="single"/>
                      <w:left w:val="single"/>
                      <w:bottom w:val="single"/>
                      <w:right w:val="single"/>
                      <w:insideH w:val="single"/>
                      <w:insideV w:val="single"/>
                    </w:tblBorders>
                  </w:tblPr>
                  <w:tblGrid>
                    <w:gridCol w:w="584"/>
                    <w:gridCol w:w="584"/>
                    <w:gridCol w:w="584"/>
                    <w:gridCol w:w="584"/>
                  </w:tblGrid>
                  <w:tr>
                    <w:tc>
                      <w:tcPr>
                        <w:tcW w:type="dxa" w:w="584"/>
                      </w:tcPr>
                      <w:p>
                        <w:pPr>
                          <w:pStyle w:val="null3"/>
                        </w:pPr>
                        <w:r>
                          <w:rPr>
                            <w:rFonts w:ascii="仿宋_GB2312" w:hAnsi="仿宋_GB2312" w:cs="仿宋_GB2312" w:eastAsia="仿宋_GB2312"/>
                          </w:rPr>
                          <w:t>序号</w:t>
                        </w:r>
                      </w:p>
                    </w:tc>
                    <w:tc>
                      <w:tcPr>
                        <w:tcW w:type="dxa" w:w="584"/>
                      </w:tcPr>
                      <w:p>
                        <w:pPr>
                          <w:pStyle w:val="null3"/>
                        </w:pPr>
                        <w:r>
                          <w:rPr>
                            <w:rFonts w:ascii="仿宋_GB2312" w:hAnsi="仿宋_GB2312" w:cs="仿宋_GB2312" w:eastAsia="仿宋_GB2312"/>
                          </w:rPr>
                          <w:t>服务内容</w:t>
                        </w:r>
                      </w:p>
                    </w:tc>
                    <w:tc>
                      <w:tcPr>
                        <w:tcW w:type="dxa" w:w="584"/>
                      </w:tcPr>
                      <w:p>
                        <w:pPr>
                          <w:pStyle w:val="null3"/>
                        </w:pPr>
                        <w:r>
                          <w:rPr>
                            <w:rFonts w:ascii="仿宋_GB2312" w:hAnsi="仿宋_GB2312" w:cs="仿宋_GB2312" w:eastAsia="仿宋_GB2312"/>
                          </w:rPr>
                          <w:t>成果</w:t>
                        </w:r>
                      </w:p>
                    </w:tc>
                    <w:tc>
                      <w:tcPr>
                        <w:tcW w:type="dxa" w:w="584"/>
                      </w:tcPr>
                      <w:p>
                        <w:pPr>
                          <w:pStyle w:val="null3"/>
                        </w:pPr>
                        <w:r>
                          <w:rPr>
                            <w:rFonts w:ascii="仿宋_GB2312" w:hAnsi="仿宋_GB2312" w:cs="仿宋_GB2312" w:eastAsia="仿宋_GB2312"/>
                          </w:rPr>
                          <w:t>数量</w:t>
                        </w:r>
                      </w:p>
                    </w:tc>
                  </w:tr>
                  <w:tr>
                    <w:tc>
                      <w:tcPr>
                        <w:tcW w:type="dxa" w:w="584"/>
                        <w:vMerge w:val="restart"/>
                      </w:tcPr>
                      <w:p>
                        <w:pPr>
                          <w:pStyle w:val="null3"/>
                        </w:pPr>
                        <w:r>
                          <w:rPr>
                            <w:rFonts w:ascii="仿宋_GB2312" w:hAnsi="仿宋_GB2312" w:cs="仿宋_GB2312" w:eastAsia="仿宋_GB2312"/>
                          </w:rPr>
                          <w:t>1</w:t>
                        </w:r>
                      </w:p>
                    </w:tc>
                    <w:tc>
                      <w:tcPr>
                        <w:tcW w:type="dxa" w:w="584"/>
                        <w:vMerge w:val="restart"/>
                      </w:tcPr>
                      <w:p>
                        <w:pPr>
                          <w:pStyle w:val="null3"/>
                        </w:pPr>
                        <w:r>
                          <w:rPr>
                            <w:rFonts w:ascii="仿宋_GB2312" w:hAnsi="仿宋_GB2312" w:cs="仿宋_GB2312" w:eastAsia="仿宋_GB2312"/>
                          </w:rPr>
                          <w:t>污染源巡查</w:t>
                        </w:r>
                      </w:p>
                    </w:tc>
                    <w:tc>
                      <w:tcPr>
                        <w:tcW w:type="dxa" w:w="584"/>
                      </w:tcPr>
                      <w:p>
                        <w:pPr>
                          <w:pStyle w:val="null3"/>
                        </w:pPr>
                        <w:r>
                          <w:rPr>
                            <w:rFonts w:ascii="仿宋_GB2312" w:hAnsi="仿宋_GB2312" w:cs="仿宋_GB2312" w:eastAsia="仿宋_GB2312"/>
                          </w:rPr>
                          <w:t>巡查及数据分析报告</w:t>
                        </w:r>
                      </w:p>
                    </w:tc>
                    <w:tc>
                      <w:tcPr>
                        <w:tcW w:type="dxa" w:w="584"/>
                      </w:tcPr>
                      <w:p>
                        <w:pPr>
                          <w:pStyle w:val="null3"/>
                        </w:pPr>
                        <w:r>
                          <w:rPr>
                            <w:rFonts w:ascii="仿宋_GB2312" w:hAnsi="仿宋_GB2312" w:cs="仿宋_GB2312" w:eastAsia="仿宋_GB2312"/>
                          </w:rPr>
                          <w:t>≥250份/年</w:t>
                        </w:r>
                      </w:p>
                    </w:tc>
                  </w:tr>
                  <w:tr>
                    <w:tc>
                      <w:tcPr>
                        <w:tcW w:type="dxa" w:w="584"/>
                        <w:vMerge/>
                      </w:tcPr>
                      <w:p/>
                    </w:tc>
                    <w:tc>
                      <w:tcPr>
                        <w:tcW w:type="dxa" w:w="584"/>
                        <w:vMerge/>
                      </w:tcPr>
                      <w:p/>
                    </w:tc>
                    <w:tc>
                      <w:tcPr>
                        <w:tcW w:type="dxa" w:w="584"/>
                      </w:tcPr>
                      <w:p>
                        <w:pPr>
                          <w:pStyle w:val="null3"/>
                        </w:pPr>
                        <w:r>
                          <w:rPr>
                            <w:rFonts w:ascii="仿宋_GB2312" w:hAnsi="仿宋_GB2312" w:cs="仿宋_GB2312" w:eastAsia="仿宋_GB2312"/>
                          </w:rPr>
                          <w:t>污染源分布图</w:t>
                        </w:r>
                      </w:p>
                    </w:tc>
                    <w:tc>
                      <w:tcPr>
                        <w:tcW w:type="dxa" w:w="584"/>
                      </w:tcPr>
                      <w:p>
                        <w:pPr>
                          <w:pStyle w:val="null3"/>
                        </w:pPr>
                        <w:r>
                          <w:rPr>
                            <w:rFonts w:ascii="仿宋_GB2312" w:hAnsi="仿宋_GB2312" w:cs="仿宋_GB2312" w:eastAsia="仿宋_GB2312"/>
                          </w:rPr>
                          <w:t>≥4份/年</w:t>
                        </w:r>
                      </w:p>
                    </w:tc>
                  </w:tr>
                  <w:tr>
                    <w:tc>
                      <w:tcPr>
                        <w:tcW w:type="dxa" w:w="584"/>
                      </w:tcPr>
                      <w:p>
                        <w:pPr>
                          <w:pStyle w:val="null3"/>
                        </w:pPr>
                        <w:r>
                          <w:rPr>
                            <w:rFonts w:ascii="仿宋_GB2312" w:hAnsi="仿宋_GB2312" w:cs="仿宋_GB2312" w:eastAsia="仿宋_GB2312"/>
                          </w:rPr>
                          <w:t>2</w:t>
                        </w:r>
                      </w:p>
                    </w:tc>
                    <w:tc>
                      <w:tcPr>
                        <w:tcW w:type="dxa" w:w="584"/>
                      </w:tcPr>
                      <w:p>
                        <w:pPr>
                          <w:pStyle w:val="null3"/>
                        </w:pPr>
                        <w:r>
                          <w:rPr>
                            <w:rFonts w:ascii="仿宋_GB2312" w:hAnsi="仿宋_GB2312" w:cs="仿宋_GB2312" w:eastAsia="仿宋_GB2312"/>
                          </w:rPr>
                          <w:t>大气监测</w:t>
                        </w:r>
                      </w:p>
                    </w:tc>
                    <w:tc>
                      <w:tcPr>
                        <w:tcW w:type="dxa" w:w="584"/>
                      </w:tcPr>
                      <w:p>
                        <w:pPr>
                          <w:pStyle w:val="null3"/>
                        </w:pPr>
                        <w:r>
                          <w:rPr>
                            <w:rFonts w:ascii="仿宋_GB2312" w:hAnsi="仿宋_GB2312" w:cs="仿宋_GB2312" w:eastAsia="仿宋_GB2312"/>
                          </w:rPr>
                          <w:t>数据表及分析报告</w:t>
                        </w:r>
                      </w:p>
                    </w:tc>
                    <w:tc>
                      <w:tcPr>
                        <w:tcW w:type="dxa" w:w="584"/>
                      </w:tcPr>
                      <w:p>
                        <w:pPr>
                          <w:pStyle w:val="null3"/>
                        </w:pPr>
                        <w:r>
                          <w:rPr>
                            <w:rFonts w:ascii="仿宋_GB2312" w:hAnsi="仿宋_GB2312" w:cs="仿宋_GB2312" w:eastAsia="仿宋_GB2312"/>
                          </w:rPr>
                          <w:t>≥52份/年</w:t>
                        </w:r>
                      </w:p>
                    </w:tc>
                  </w:tr>
                  <w:tr>
                    <w:tc>
                      <w:tcPr>
                        <w:tcW w:type="dxa" w:w="584"/>
                      </w:tcPr>
                      <w:p>
                        <w:pPr>
                          <w:pStyle w:val="null3"/>
                        </w:pPr>
                        <w:r>
                          <w:rPr>
                            <w:rFonts w:ascii="仿宋_GB2312" w:hAnsi="仿宋_GB2312" w:cs="仿宋_GB2312" w:eastAsia="仿宋_GB2312"/>
                          </w:rPr>
                          <w:t>3</w:t>
                        </w:r>
                      </w:p>
                    </w:tc>
                    <w:tc>
                      <w:tcPr>
                        <w:tcW w:type="dxa" w:w="584"/>
                      </w:tcPr>
                      <w:p>
                        <w:pPr>
                          <w:pStyle w:val="null3"/>
                        </w:pPr>
                        <w:r>
                          <w:rPr>
                            <w:rFonts w:ascii="仿宋_GB2312" w:hAnsi="仿宋_GB2312" w:cs="仿宋_GB2312" w:eastAsia="仿宋_GB2312"/>
                          </w:rPr>
                          <w:t>污染源二维影像及三维建模</w:t>
                        </w:r>
                      </w:p>
                    </w:tc>
                    <w:tc>
                      <w:tcPr>
                        <w:tcW w:type="dxa" w:w="584"/>
                      </w:tcPr>
                      <w:p>
                        <w:pPr>
                          <w:pStyle w:val="null3"/>
                        </w:pPr>
                        <w:r>
                          <w:rPr>
                            <w:rFonts w:ascii="仿宋_GB2312" w:hAnsi="仿宋_GB2312" w:cs="仿宋_GB2312" w:eastAsia="仿宋_GB2312"/>
                          </w:rPr>
                          <w:t>二维影像图、三维模型</w:t>
                        </w:r>
                      </w:p>
                    </w:tc>
                    <w:tc>
                      <w:tcPr>
                        <w:tcW w:type="dxa" w:w="584"/>
                      </w:tcPr>
                      <w:p>
                        <w:pPr>
                          <w:pStyle w:val="null3"/>
                        </w:pPr>
                        <w:r>
                          <w:rPr>
                            <w:rFonts w:ascii="仿宋_GB2312" w:hAnsi="仿宋_GB2312" w:cs="仿宋_GB2312" w:eastAsia="仿宋_GB2312"/>
                          </w:rPr>
                          <w:t>具体根据污染源污染情况决定</w:t>
                        </w:r>
                      </w:p>
                    </w:tc>
                  </w:tr>
                  <w:tr>
                    <w:tc>
                      <w:tcPr>
                        <w:tcW w:type="dxa" w:w="584"/>
                      </w:tcPr>
                      <w:p>
                        <w:pPr>
                          <w:pStyle w:val="null3"/>
                        </w:pPr>
                        <w:r>
                          <w:rPr>
                            <w:rFonts w:ascii="仿宋_GB2312" w:hAnsi="仿宋_GB2312" w:cs="仿宋_GB2312" w:eastAsia="仿宋_GB2312"/>
                          </w:rPr>
                          <w:t>4</w:t>
                        </w:r>
                      </w:p>
                    </w:tc>
                    <w:tc>
                      <w:tcPr>
                        <w:tcW w:type="dxa" w:w="584"/>
                      </w:tcPr>
                      <w:p>
                        <w:pPr>
                          <w:pStyle w:val="null3"/>
                        </w:pPr>
                        <w:r>
                          <w:rPr>
                            <w:rFonts w:ascii="仿宋_GB2312" w:hAnsi="仿宋_GB2312" w:cs="仿宋_GB2312" w:eastAsia="仿宋_GB2312"/>
                          </w:rPr>
                          <w:t>定期工作汇报</w:t>
                        </w:r>
                      </w:p>
                    </w:tc>
                    <w:tc>
                      <w:tcPr>
                        <w:tcW w:type="dxa" w:w="584"/>
                      </w:tcPr>
                      <w:p>
                        <w:pPr>
                          <w:pStyle w:val="null3"/>
                        </w:pPr>
                        <w:r>
                          <w:rPr>
                            <w:rFonts w:ascii="仿宋_GB2312" w:hAnsi="仿宋_GB2312" w:cs="仿宋_GB2312" w:eastAsia="仿宋_GB2312"/>
                          </w:rPr>
                          <w:t>月度、季度、半年度和年度工作报告</w:t>
                        </w:r>
                      </w:p>
                    </w:tc>
                    <w:tc>
                      <w:tcPr>
                        <w:tcW w:type="dxa" w:w="584"/>
                      </w:tcPr>
                      <w:p>
                        <w:pPr>
                          <w:pStyle w:val="null3"/>
                        </w:pPr>
                        <w:r>
                          <w:rPr>
                            <w:rFonts w:ascii="仿宋_GB2312" w:hAnsi="仿宋_GB2312" w:cs="仿宋_GB2312" w:eastAsia="仿宋_GB2312"/>
                          </w:rPr>
                          <w:t>≥18份/年</w:t>
                        </w:r>
                      </w:p>
                    </w:tc>
                  </w:tr>
                </w:tbl>
                <w:p>
                  <w:pPr>
                    <w:pStyle w:val="null3"/>
                  </w:pPr>
                  <w:r>
                    <w:rPr>
                      <w:rFonts w:ascii="仿宋_GB2312" w:hAnsi="仿宋_GB2312" w:cs="仿宋_GB2312" w:eastAsia="仿宋_GB2312"/>
                    </w:rPr>
                    <w:t xml:space="preserve"> </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根据磋商文件要求提供满足本项目实施的专业人员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根据磋商文件要求提供满足本项目实施的设施设备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预付款，双方合同签订后，达到付款条件起30个工作日内，支付合同总金额的40.0%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进度款，服务期满考核合格后且通过验收后，服务期满根据验收及考核结果核定结算金额，达到付款条件起30个工作日内，支付合同总金额的60.0%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以签订的合同为准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付款方式为：双方合同签订后，达到付款条件起30个工作日内，支付合同总金额的40.0%，服务期满根据验收及考核结果核定结算金额，达到付款条件起30个工作日内，支付剩余款项。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供应商需在项目电子化交易系统中按要求填写《投标函》完成承诺并进行电子签章。需在《基本资格条件承诺函》并进行电子签章。</w:t>
            </w:r>
          </w:p>
        </w:tc>
        <w:tc>
          <w:tcPr>
            <w:tcW w:type="dxa" w:w="1661"/>
          </w:tcPr>
          <w:p>
            <w:pPr>
              <w:pStyle w:val="null3"/>
            </w:pPr>
            <w:r>
              <w:rPr>
                <w:rFonts w:ascii="仿宋_GB2312" w:hAnsi="仿宋_GB2312" w:cs="仿宋_GB2312" w:eastAsia="仿宋_GB2312"/>
              </w:rPr>
              <w:t>附件：基本资格条件承诺函.docx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供应商需在项目电子化交易系统中按要求上传相应证明文件并进行电子签章。需在《基本资格条件承诺函》并进行电子签章。</w:t>
            </w:r>
          </w:p>
        </w:tc>
        <w:tc>
          <w:tcPr>
            <w:tcW w:type="dxa" w:w="1661"/>
          </w:tcPr>
          <w:p>
            <w:pPr>
              <w:pStyle w:val="null3"/>
            </w:pPr>
            <w:r>
              <w:rPr>
                <w:rFonts w:ascii="仿宋_GB2312" w:hAnsi="仿宋_GB2312" w:cs="仿宋_GB2312" w:eastAsia="仿宋_GB2312"/>
              </w:rPr>
              <w:t>附件：基本资格条件承诺函.docx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供应商需在项目电子化交易系统中按要求填写《投标函》完成承诺并进行电子签章。需在《基本资格条件承诺函》并进行电子签章。</w:t>
            </w:r>
          </w:p>
        </w:tc>
        <w:tc>
          <w:tcPr>
            <w:tcW w:type="dxa" w:w="1661"/>
          </w:tcPr>
          <w:p>
            <w:pPr>
              <w:pStyle w:val="null3"/>
            </w:pPr>
            <w:r>
              <w:rPr>
                <w:rFonts w:ascii="仿宋_GB2312" w:hAnsi="仿宋_GB2312" w:cs="仿宋_GB2312" w:eastAsia="仿宋_GB2312"/>
              </w:rPr>
              <w:t>附件：基本资格条件承诺函.docx 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在递交响应文件截止时间前被“信用中国”网站（www.creditchina.gov.cn）和中国政府采购网（www.ccgp.gov.cn）上被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主体证明文件</w:t>
            </w:r>
          </w:p>
        </w:tc>
        <w:tc>
          <w:tcPr>
            <w:tcW w:type="dxa" w:w="3322"/>
          </w:tcPr>
          <w:p>
            <w:pPr>
              <w:pStyle w:val="null3"/>
            </w:pPr>
            <w:r>
              <w:rPr>
                <w:rFonts w:ascii="仿宋_GB2312" w:hAnsi="仿宋_GB2312" w:cs="仿宋_GB2312" w:eastAsia="仿宋_GB2312"/>
              </w:rPr>
              <w:t>（1）投标人是企业（包括合伙企业)的，应提供其在市场监督管理部门注册的有效“营业执照”的复印件；（2）投标人是事业单位的，应提供其有效的“事业单位法人证书”复印件；（3）投标人是非企业专业服务机构的，应提供其有效的“执业许可证”复印件；（4）投标人是民办非企业单位的，应提供其有效的登记证书复印件；（5）投标人是个体工商户的，应提供其有效的“营业执照”复印件；（6）投标人是自然人的，应提供其有效的自然人身份证明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供应商具有有效的《民用无人驾驶航空器运营合格证》</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审查1.评审中出现下列情形之一的，磋商小组应当启动异常低价投标审查程序：（1）投标报价低于全部通过符合性审查供应商投标报价平均值50%的，即投标报价&lt;全部通过符合性审查供应商投标报价平均值×50%；（2）投标报价低于通过符合性审查的次低报价供应商投标报价50%的，即投标报价&lt;通过符合性审查的次低报价供应商投标报价×50%；（3）投标报价低于采购项目最高限价45%的，即投标报价&lt;采购项目最高限价×45%；（4）磋商小组基于专业判断，认为供应商报价过低，有可能影响产品质量或者不能诚信履约的其他情形。相关法律法规对供应商报价有规定的，从其规定。2.磋商小组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磋商小组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磋商小组应当将其作为无效投标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按磋商文件格式要求签署、盖章</w:t>
            </w:r>
          </w:p>
        </w:tc>
        <w:tc>
          <w:tcPr>
            <w:tcW w:type="dxa" w:w="1661"/>
          </w:tcPr>
          <w:p>
            <w:pPr>
              <w:pStyle w:val="null3"/>
            </w:pPr>
            <w:r>
              <w:rPr>
                <w:rFonts w:ascii="仿宋_GB2312" w:hAnsi="仿宋_GB2312" w:cs="仿宋_GB2312" w:eastAsia="仿宋_GB2312"/>
              </w:rPr>
              <w:t>响应文件封面 附件：基本资格条件承诺函.docx 中小企业声明函 残疾人福利性单位声明函 附件商务及技术条款偏离表.docx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附件商务及技术条款偏离表.docx 服务方案</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附件：基本资格条件承诺函.docx 附件商务及技术条款偏离表.docx 服务方案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w:t>
            </w:r>
          </w:p>
        </w:tc>
        <w:tc>
          <w:tcPr>
            <w:tcW w:type="dxa" w:w="1661"/>
          </w:tcPr>
          <w:p>
            <w:pPr>
              <w:pStyle w:val="null3"/>
            </w:pPr>
            <w:r>
              <w:rPr>
                <w:rFonts w:ascii="仿宋_GB2312" w:hAnsi="仿宋_GB2312" w:cs="仿宋_GB2312" w:eastAsia="仿宋_GB2312"/>
              </w:rPr>
              <w:t>附件：基本资格条件承诺函.docx 附件商务及技术条款偏离表.docx 服务方案 供应商应提交的相关资格证明材料 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附件：基本资格条件承诺函.docx 附件商务及技术条款偏离表.docx 服务方案 供应商应提交的相关资格证明材料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根据投标人对采购需求分析，提供实施方案，包含但不限于①巡查监测方案；②进度保障方案；③巡查报告及成果方案；④拟投入本项目的设备设施；⑤飞行安全与运行质量保障方案；⑥ 应急处置方案；⑦数据保密方案；⑧无人机飞行平台备品配件情况；内容详细完整、针对性强、可行性高，符合项目实际要求。每项满分5分，每有一项内容中有1处缺陷扣1分，扣完为止。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专业设备能力</w:t>
            </w:r>
          </w:p>
        </w:tc>
        <w:tc>
          <w:tcPr>
            <w:tcW w:type="dxa" w:w="2492"/>
          </w:tcPr>
          <w:p>
            <w:pPr>
              <w:pStyle w:val="null3"/>
            </w:pPr>
            <w:r>
              <w:rPr>
                <w:rFonts w:ascii="仿宋_GB2312" w:hAnsi="仿宋_GB2312" w:cs="仿宋_GB2312" w:eastAsia="仿宋_GB2312"/>
              </w:rPr>
              <w:t>供应商针对本项目服务内容配备专业设备、仪器，提供的设备、仪器全面；完全满足磋商文件第三章服务内容及服务要求中四、设备技术要求的“飞行平台、RTK定位模块、可见光相机、热红外相机、多光谱传感器、气体传感器、水质采样器”要求的得14分，每负偏离一项扣1分，扣完为止。（包括但不限于第三方检测报告或设备官方技术白皮书或产品彩页、测试报告、官网、功能截图等技术支持性文件资料）</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车辆</w:t>
            </w:r>
          </w:p>
        </w:tc>
        <w:tc>
          <w:tcPr>
            <w:tcW w:type="dxa" w:w="2492"/>
          </w:tcPr>
          <w:p>
            <w:pPr>
              <w:pStyle w:val="null3"/>
            </w:pPr>
            <w:r>
              <w:rPr>
                <w:rFonts w:ascii="仿宋_GB2312" w:hAnsi="仿宋_GB2312" w:cs="仿宋_GB2312" w:eastAsia="仿宋_GB2312"/>
              </w:rPr>
              <w:t>提供满足本项目的巡查车辆，具备1辆巡查车辆得1.5分，具备2辆巡查车辆得3分。提供车辆自有证明或与第三方配送合作有效协议等相关证明文件，未提供证明材料的不得分。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提供书面承诺，承诺中标后按采购人要求协调空管部门完成备案得2分，未提供不得分。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1.提供拟委派团队人员清单，并能清晰展示配备人员在本项目中职能分工得2分，未提供不得分。 2.提供拟派项目负责人自2023年1月至今承接的同类项目业绩证明材料，须提供合同复印件加盖公章。若合同中不体现项目负责人姓名，可提供验收报告或业主证明等佐证材料。每提供1项得1分，最多得2分。 3.拟派无人机驾驶员具备民用无人驾驶航空器操控员执照的每提供一个得2分，最高4分。 4.服务团队其他成员（除项目负责人外）：每有1人持有民航局无人机驾驶员执照或环保或测绘相关专业中级及以上职称证书的，得1分，最高得2分。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企业认证</w:t>
            </w:r>
          </w:p>
        </w:tc>
        <w:tc>
          <w:tcPr>
            <w:tcW w:type="dxa" w:w="2492"/>
          </w:tcPr>
          <w:p>
            <w:pPr>
              <w:pStyle w:val="null3"/>
            </w:pPr>
            <w:r>
              <w:rPr>
                <w:rFonts w:ascii="仿宋_GB2312" w:hAnsi="仿宋_GB2312" w:cs="仿宋_GB2312" w:eastAsia="仿宋_GB2312"/>
              </w:rPr>
              <w:t>供应商具有有效期内的以下认证证书：质量管理体系认证证书、环境管理体系认证证书、职业健康安全管理认证证书。每提供一个得2分，满分6分。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供应商具有2023年1月1日起至今的同类业绩，业绩以合同复印件为依据；每提供1个业绩得2分，最多得10分。说明：时间以合同签订时间为准。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采用低价优先法计算，以本次满足磋商文件要求的最低最后磋商报价为磋商基准价，其磋商报价为满分。供应商的磋商报价得分，统一按照下列公式计算：磋商报价得分=（磋商基准价／最后磋商报价）×15。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详见附件：附件商务及技术条款偏离表.docx</w:t>
      </w:r>
    </w:p>
    <w:p>
      <w:pPr>
        <w:pStyle w:val="null3"/>
        <w:ind w:firstLine="960"/>
      </w:pPr>
      <w:r>
        <w:rPr>
          <w:rFonts w:ascii="仿宋_GB2312" w:hAnsi="仿宋_GB2312" w:cs="仿宋_GB2312" w:eastAsia="仿宋_GB2312"/>
        </w:rPr>
        <w:t>详见附件：附件：基本资格条件承诺函.docx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