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C1CB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lang w:eastAsia="zh-CN"/>
        </w:rPr>
        <w:fldChar w:fldCharType="begin"/>
      </w:r>
      <w:r>
        <w:rPr>
          <w:rFonts w:hint="eastAsia" w:ascii="宋体" w:hAnsi="宋体" w:eastAsia="宋体" w:cs="宋体"/>
          <w:color w:val="auto"/>
          <w:sz w:val="24"/>
          <w:szCs w:val="24"/>
          <w:highlight w:val="none"/>
          <w:lang w:eastAsia="zh-CN"/>
        </w:rPr>
        <w:instrText xml:space="preserve"> HYPERLINK "http://set2.mail.qq.com/cgi-bin/mail_spam?action=check_link&amp;spam=0&amp;url=http%3A%2F%2Fwww%2Ebaidu%2Ecom%2Fs%3Fwd%3D%25E9%2587%2587%25E8%25B4%25AD%25E5%258D%2595%26hl_tag%3Dtextlink%26tn%3DSE_hldp01350_v6v6zkg6" </w:instrText>
      </w:r>
      <w:r>
        <w:rPr>
          <w:rFonts w:hint="eastAsia" w:ascii="宋体" w:hAnsi="宋体" w:eastAsia="宋体" w:cs="宋体"/>
          <w:color w:val="auto"/>
          <w:sz w:val="24"/>
          <w:szCs w:val="24"/>
          <w:highlight w:val="none"/>
          <w:lang w:eastAsia="zh-CN"/>
        </w:rPr>
        <w:fldChar w:fldCharType="separate"/>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lang w:eastAsia="zh-CN"/>
        </w:rPr>
        <w:fldChar w:fldCharType="end"/>
      </w:r>
      <w:r>
        <w:rPr>
          <w:rFonts w:hint="eastAsia" w:ascii="宋体" w:hAnsi="宋体" w:eastAsia="宋体" w:cs="宋体"/>
          <w:color w:val="auto"/>
          <w:sz w:val="24"/>
          <w:szCs w:val="24"/>
          <w:highlight w:val="none"/>
          <w:lang w:eastAsia="zh-CN"/>
        </w:rPr>
        <w:t>)：</w:t>
      </w:r>
      <w:bookmarkStart w:id="0" w:name="_GoBack"/>
      <w:bookmarkEnd w:id="0"/>
    </w:p>
    <w:p w14:paraId="79A5292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fldChar w:fldCharType="begin"/>
      </w:r>
      <w:r>
        <w:rPr>
          <w:rFonts w:hint="eastAsia" w:ascii="宋体" w:hAnsi="宋体" w:eastAsia="宋体" w:cs="宋体"/>
          <w:color w:val="auto"/>
          <w:sz w:val="24"/>
          <w:szCs w:val="24"/>
          <w:highlight w:val="none"/>
          <w:lang w:eastAsia="zh-CN"/>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color w:val="auto"/>
          <w:sz w:val="24"/>
          <w:szCs w:val="24"/>
          <w:highlight w:val="none"/>
          <w:lang w:eastAsia="zh-CN"/>
        </w:rPr>
        <w:fldChar w:fldCharType="separate"/>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lang w:eastAsia="zh-CN"/>
        </w:rPr>
        <w:fldChar w:fldCharType="end"/>
      </w:r>
      <w:r>
        <w:rPr>
          <w:rFonts w:hint="eastAsia" w:ascii="宋体" w:hAnsi="宋体" w:eastAsia="宋体" w:cs="宋体"/>
          <w:color w:val="auto"/>
          <w:sz w:val="24"/>
          <w:szCs w:val="24"/>
          <w:highlight w:val="none"/>
          <w:lang w:eastAsia="zh-CN"/>
        </w:rPr>
        <w:t>(供应商)：</w:t>
      </w:r>
    </w:p>
    <w:p w14:paraId="32EAD1E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根据《中华人民共和国民法典》和《中华人民共和国政府采购法》等相关规定，遵循平等、自愿、公平和诚信的原则，双方就下述项目范围与相关服务事项协商一致，订立本合同。</w:t>
      </w:r>
    </w:p>
    <w:p w14:paraId="5CED0D08">
      <w:pPr>
        <w:spacing w:before="50" w:line="222" w:lineRule="auto"/>
        <w:ind w:left="44"/>
        <w:rPr>
          <w:rFonts w:hint="eastAsia" w:ascii="宋体" w:hAnsi="宋体" w:eastAsia="宋体" w:cs="宋体"/>
          <w:color w:val="auto"/>
          <w:sz w:val="28"/>
          <w:szCs w:val="28"/>
          <w:highlight w:val="none"/>
        </w:rPr>
      </w:pPr>
      <w:r>
        <w:rPr>
          <w:rFonts w:hint="eastAsia" w:ascii="宋体" w:hAnsi="宋体" w:eastAsia="宋体" w:cs="宋体"/>
          <w:b/>
          <w:bCs/>
          <w:color w:val="auto"/>
          <w:spacing w:val="-4"/>
          <w:sz w:val="28"/>
          <w:szCs w:val="28"/>
          <w:highlight w:val="none"/>
        </w:rPr>
        <w:t>第一条、项目概况</w:t>
      </w:r>
    </w:p>
    <w:p w14:paraId="27E8071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（一）</w:t>
      </w:r>
      <w:r>
        <w:rPr>
          <w:rFonts w:hint="eastAsia" w:ascii="宋体" w:hAnsi="宋体" w:eastAsia="宋体" w:cs="宋体"/>
          <w:color w:val="auto"/>
          <w:sz w:val="24"/>
          <w:szCs w:val="24"/>
          <w:highlight w:val="none"/>
          <w:lang w:val="en-US" w:eastAsia="zh-CN"/>
        </w:rPr>
        <w:t>项目名称：</w:t>
      </w:r>
      <w:r>
        <w:rPr>
          <w:rFonts w:hint="eastAsia" w:ascii="宋体" w:hAnsi="宋体" w:eastAsia="宋体" w:cs="宋体"/>
          <w:color w:val="auto"/>
          <w:sz w:val="24"/>
          <w:szCs w:val="24"/>
          <w:highlight w:val="none"/>
          <w:u w:val="single"/>
          <w:lang w:val="en-US" w:eastAsia="zh-CN"/>
        </w:rPr>
        <w:t xml:space="preserve">                  </w:t>
      </w:r>
    </w:p>
    <w:p w14:paraId="42CD09C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（二）服务内容：</w:t>
      </w:r>
      <w:r>
        <w:rPr>
          <w:rFonts w:hint="eastAsia" w:ascii="宋体" w:hAnsi="宋体" w:eastAsia="宋体" w:cs="宋体"/>
          <w:color w:val="auto"/>
          <w:sz w:val="24"/>
          <w:szCs w:val="24"/>
          <w:highlight w:val="none"/>
          <w:u w:val="single"/>
          <w:lang w:val="en-US" w:eastAsia="zh-CN"/>
        </w:rPr>
        <w:t xml:space="preserve">                   </w:t>
      </w:r>
    </w:p>
    <w:p w14:paraId="1F1E04F4">
      <w:pPr>
        <w:spacing w:before="50" w:line="222" w:lineRule="auto"/>
        <w:ind w:left="44"/>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第二条、合同</w:t>
      </w:r>
      <w:r>
        <w:rPr>
          <w:rFonts w:hint="eastAsia" w:ascii="宋体" w:hAnsi="宋体" w:eastAsia="宋体" w:cs="宋体"/>
          <w:b/>
          <w:bCs/>
          <w:color w:val="auto"/>
          <w:spacing w:val="-4"/>
          <w:sz w:val="28"/>
          <w:szCs w:val="28"/>
          <w:highlight w:val="none"/>
          <w:lang w:val="en-US" w:eastAsia="zh-CN"/>
        </w:rPr>
        <w:t>价款</w:t>
      </w:r>
      <w:r>
        <w:rPr>
          <w:rFonts w:hint="eastAsia" w:ascii="宋体" w:hAnsi="宋体" w:eastAsia="宋体" w:cs="宋体"/>
          <w:b/>
          <w:bCs/>
          <w:color w:val="auto"/>
          <w:spacing w:val="-4"/>
          <w:sz w:val="28"/>
          <w:szCs w:val="28"/>
          <w:highlight w:val="none"/>
        </w:rPr>
        <w:t>及款项结算</w:t>
      </w:r>
    </w:p>
    <w:p w14:paraId="10BCB05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（一）合同价款</w:t>
      </w:r>
    </w:p>
    <w:p w14:paraId="5BFA8B5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合同总价款为人民币（大写）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6CCF90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合同总价款包括为完成本项目要求的全部服务内容的所有费用，</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不再另行支付合同价以外的其他任何费用</w:t>
      </w:r>
      <w:r>
        <w:rPr>
          <w:rFonts w:hint="eastAsia" w:ascii="宋体" w:hAnsi="宋体" w:eastAsia="宋体" w:cs="宋体"/>
          <w:color w:val="auto"/>
          <w:sz w:val="24"/>
          <w:szCs w:val="24"/>
          <w:highlight w:val="none"/>
          <w:lang w:val="zh-CN"/>
        </w:rPr>
        <w:t>。</w:t>
      </w:r>
    </w:p>
    <w:p w14:paraId="16A7746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合同总价一次性包死，不受市场价格变化因素的影响。</w:t>
      </w:r>
    </w:p>
    <w:p w14:paraId="285C905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（二）款项结算</w:t>
      </w:r>
    </w:p>
    <w:p w14:paraId="588AF7C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结算方式：银行转账</w:t>
      </w:r>
    </w:p>
    <w:p w14:paraId="0539758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付款条件说明：</w:t>
      </w:r>
    </w:p>
    <w:p w14:paraId="762A2C6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预付款支付条款</w:t>
      </w:r>
      <w:r>
        <w:rPr>
          <w:rFonts w:hint="eastAsia" w:ascii="宋体" w:hAnsi="宋体" w:eastAsia="宋体" w:cs="宋体"/>
          <w:color w:val="auto"/>
          <w:sz w:val="24"/>
          <w:szCs w:val="24"/>
          <w:highlight w:val="none"/>
          <w:lang w:eastAsia="zh-CN"/>
        </w:rPr>
        <w:t>：</w:t>
      </w:r>
    </w:p>
    <w:p w14:paraId="04B2DB2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rPr>
        <w:t>本合同设置预付款</w:t>
      </w:r>
      <w:r>
        <w:rPr>
          <w:rFonts w:hint="eastAsia" w:ascii="宋体" w:hAnsi="宋体" w:eastAsia="宋体" w:cs="宋体"/>
          <w:color w:val="auto"/>
          <w:sz w:val="24"/>
          <w:szCs w:val="24"/>
          <w:highlight w:val="none"/>
          <w:lang w:eastAsia="zh-CN"/>
        </w:rPr>
        <w:t>：</w:t>
      </w:r>
    </w:p>
    <w:p w14:paraId="14B991C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②</w:t>
      </w:r>
      <w:r>
        <w:rPr>
          <w:rFonts w:hint="eastAsia" w:ascii="宋体" w:hAnsi="宋体" w:eastAsia="宋体" w:cs="宋体"/>
          <w:color w:val="auto"/>
          <w:sz w:val="24"/>
          <w:szCs w:val="24"/>
          <w:highlight w:val="none"/>
        </w:rPr>
        <w:t>预付款金额</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合同总价款的</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w:t>
      </w:r>
    </w:p>
    <w:p w14:paraId="0D8CDDA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③</w:t>
      </w:r>
      <w:r>
        <w:rPr>
          <w:rFonts w:hint="eastAsia" w:ascii="宋体" w:hAnsi="宋体" w:eastAsia="宋体" w:cs="宋体"/>
          <w:color w:val="auto"/>
          <w:sz w:val="24"/>
          <w:szCs w:val="24"/>
          <w:highlight w:val="none"/>
        </w:rPr>
        <w:t>预付款支付条件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合同签订后</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个工作日内</w:t>
      </w:r>
      <w:r>
        <w:rPr>
          <w:rFonts w:hint="eastAsia" w:ascii="宋体" w:hAnsi="宋体" w:cs="宋体"/>
          <w:color w:val="auto"/>
          <w:sz w:val="24"/>
          <w:szCs w:val="24"/>
          <w:highlight w:val="none"/>
          <w:lang w:eastAsia="zh-CN"/>
        </w:rPr>
        <w:t>；</w:t>
      </w:r>
    </w:p>
    <w:p w14:paraId="39933E7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剩余款项支付条款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服务期</w:t>
      </w:r>
      <w:r>
        <w:rPr>
          <w:rFonts w:hint="eastAsia" w:ascii="宋体" w:hAnsi="宋体" w:eastAsia="宋体" w:cs="宋体"/>
          <w:color w:val="auto"/>
          <w:sz w:val="24"/>
          <w:szCs w:val="24"/>
          <w:highlight w:val="none"/>
        </w:rPr>
        <w:t>满根据验收及考核结果核定结算金额</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达到付款条件起</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个工作日内</w:t>
      </w:r>
      <w:r>
        <w:rPr>
          <w:rFonts w:hint="eastAsia" w:ascii="宋体" w:hAnsi="宋体" w:eastAsia="宋体" w:cs="宋体"/>
          <w:color w:val="auto"/>
          <w:sz w:val="24"/>
          <w:szCs w:val="24"/>
          <w:highlight w:val="none"/>
          <w:lang w:val="en-US" w:eastAsia="zh-CN"/>
        </w:rPr>
        <w:t>，支付剩余款项</w:t>
      </w:r>
      <w:r>
        <w:rPr>
          <w:rFonts w:hint="eastAsia" w:ascii="宋体" w:hAnsi="宋体" w:eastAsia="宋体" w:cs="宋体"/>
          <w:color w:val="auto"/>
          <w:sz w:val="24"/>
          <w:szCs w:val="24"/>
          <w:highlight w:val="none"/>
        </w:rPr>
        <w:t>。</w:t>
      </w:r>
    </w:p>
    <w:p w14:paraId="44DCCAF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结算单位：由甲方负责结算，乙方按甲方要求开具等额发票交甲方。 </w:t>
      </w:r>
    </w:p>
    <w:p w14:paraId="20522766">
      <w:pPr>
        <w:spacing w:before="50" w:line="222" w:lineRule="auto"/>
        <w:ind w:left="44"/>
        <w:rPr>
          <w:rFonts w:hint="eastAsia" w:ascii="宋体" w:hAnsi="宋体" w:eastAsia="宋体" w:cs="宋体"/>
          <w:b/>
          <w:bCs/>
          <w:color w:val="auto"/>
          <w:spacing w:val="-4"/>
          <w:sz w:val="28"/>
          <w:szCs w:val="28"/>
          <w:highlight w:val="none"/>
          <w:lang w:eastAsia="zh-CN"/>
        </w:rPr>
      </w:pPr>
      <w:r>
        <w:rPr>
          <w:rFonts w:hint="eastAsia" w:ascii="宋体" w:hAnsi="宋体" w:eastAsia="宋体" w:cs="宋体"/>
          <w:b/>
          <w:bCs/>
          <w:color w:val="auto"/>
          <w:spacing w:val="-4"/>
          <w:sz w:val="28"/>
          <w:szCs w:val="28"/>
          <w:highlight w:val="none"/>
        </w:rPr>
        <w:t>第三条、服务地点、服务</w:t>
      </w:r>
      <w:r>
        <w:rPr>
          <w:rFonts w:hint="eastAsia" w:ascii="宋体" w:hAnsi="宋体" w:eastAsia="宋体" w:cs="宋体"/>
          <w:b/>
          <w:bCs/>
          <w:color w:val="auto"/>
          <w:spacing w:val="-4"/>
          <w:sz w:val="28"/>
          <w:szCs w:val="28"/>
          <w:highlight w:val="none"/>
          <w:lang w:val="en-US" w:eastAsia="zh-CN"/>
        </w:rPr>
        <w:t>期限</w:t>
      </w:r>
    </w:p>
    <w:p w14:paraId="3EDC921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（一）服务地点：采购人指定地点。 </w:t>
      </w:r>
    </w:p>
    <w:p w14:paraId="19DE017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（二）服务</w:t>
      </w:r>
      <w:r>
        <w:rPr>
          <w:rFonts w:hint="eastAsia" w:ascii="宋体" w:hAnsi="宋体" w:eastAsia="宋体" w:cs="宋体"/>
          <w:color w:val="auto"/>
          <w:sz w:val="24"/>
          <w:szCs w:val="24"/>
          <w:highlight w:val="none"/>
          <w:lang w:val="en-US" w:eastAsia="zh-CN"/>
        </w:rPr>
        <w:t>期限</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自合同签订之日起</w:t>
      </w:r>
      <w:r>
        <w:rPr>
          <w:rFonts w:hint="eastAsia" w:ascii="宋体" w:hAnsi="宋体" w:eastAsia="宋体" w:cs="宋体"/>
          <w:color w:val="auto"/>
          <w:sz w:val="24"/>
          <w:szCs w:val="24"/>
          <w:highlight w:val="none"/>
          <w:lang w:val="en-US" w:eastAsia="zh-CN"/>
        </w:rPr>
        <w:t>一年</w:t>
      </w:r>
      <w:r>
        <w:rPr>
          <w:rFonts w:hint="eastAsia" w:ascii="宋体" w:hAnsi="宋体" w:eastAsia="宋体" w:cs="宋体"/>
          <w:color w:val="auto"/>
          <w:sz w:val="24"/>
          <w:szCs w:val="24"/>
          <w:highlight w:val="none"/>
          <w:lang w:eastAsia="zh-CN"/>
        </w:rPr>
        <w:t>。</w:t>
      </w:r>
    </w:p>
    <w:p w14:paraId="22C6A1BC">
      <w:pPr>
        <w:spacing w:before="50" w:line="222" w:lineRule="auto"/>
        <w:ind w:left="44"/>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第四条、</w:t>
      </w:r>
      <w:r>
        <w:rPr>
          <w:rFonts w:hint="eastAsia" w:ascii="宋体" w:hAnsi="宋体" w:cs="宋体"/>
          <w:b/>
          <w:bCs/>
          <w:color w:val="auto"/>
          <w:spacing w:val="-4"/>
          <w:sz w:val="28"/>
          <w:szCs w:val="28"/>
          <w:highlight w:val="none"/>
          <w:lang w:val="en-US" w:eastAsia="zh-CN"/>
        </w:rPr>
        <w:t>考核和</w:t>
      </w:r>
      <w:r>
        <w:rPr>
          <w:rFonts w:hint="eastAsia" w:ascii="宋体" w:hAnsi="宋体" w:eastAsia="宋体" w:cs="宋体"/>
          <w:b/>
          <w:bCs/>
          <w:color w:val="auto"/>
          <w:spacing w:val="-4"/>
          <w:sz w:val="28"/>
          <w:szCs w:val="28"/>
          <w:highlight w:val="none"/>
        </w:rPr>
        <w:t>验收</w:t>
      </w:r>
    </w:p>
    <w:p w14:paraId="1A5D844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（一）成交供应商按照项目需求完成服务后，由</w:t>
      </w:r>
      <w:r>
        <w:rPr>
          <w:rFonts w:hint="eastAsia" w:ascii="宋体" w:hAnsi="宋体" w:cs="宋体"/>
          <w:color w:val="auto"/>
          <w:sz w:val="24"/>
          <w:szCs w:val="24"/>
          <w:highlight w:val="none"/>
          <w:lang w:val="en-US" w:eastAsia="zh-CN"/>
        </w:rPr>
        <w:t>采购人</w:t>
      </w:r>
      <w:r>
        <w:rPr>
          <w:rFonts w:hint="eastAsia" w:ascii="宋体" w:hAnsi="宋体" w:eastAsia="宋体" w:cs="宋体"/>
          <w:color w:val="auto"/>
          <w:sz w:val="24"/>
          <w:szCs w:val="24"/>
          <w:highlight w:val="none"/>
        </w:rPr>
        <w:t>组织</w:t>
      </w:r>
      <w:r>
        <w:rPr>
          <w:rFonts w:hint="eastAsia" w:ascii="宋体" w:hAnsi="宋体" w:cs="宋体"/>
          <w:color w:val="auto"/>
          <w:sz w:val="24"/>
          <w:szCs w:val="24"/>
          <w:highlight w:val="none"/>
          <w:lang w:val="en-US" w:eastAsia="zh-CN"/>
        </w:rPr>
        <w:t>考核和</w:t>
      </w:r>
      <w:r>
        <w:rPr>
          <w:rFonts w:hint="eastAsia" w:ascii="宋体" w:hAnsi="宋体" w:eastAsia="宋体" w:cs="宋体"/>
          <w:color w:val="auto"/>
          <w:sz w:val="24"/>
          <w:szCs w:val="24"/>
          <w:highlight w:val="none"/>
        </w:rPr>
        <w:t xml:space="preserve">验收。  </w:t>
      </w:r>
    </w:p>
    <w:p w14:paraId="20D20B9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考核和</w:t>
      </w:r>
      <w:r>
        <w:rPr>
          <w:rFonts w:hint="eastAsia" w:ascii="宋体" w:hAnsi="宋体" w:eastAsia="宋体" w:cs="宋体"/>
          <w:color w:val="auto"/>
          <w:sz w:val="24"/>
          <w:szCs w:val="24"/>
          <w:highlight w:val="none"/>
        </w:rPr>
        <w:t xml:space="preserve">验收依据： </w:t>
      </w:r>
    </w:p>
    <w:p w14:paraId="0A59567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本合同及附件文本</w:t>
      </w:r>
      <w:r>
        <w:rPr>
          <w:rFonts w:hint="eastAsia" w:ascii="宋体" w:hAnsi="宋体" w:eastAsia="宋体" w:cs="宋体"/>
          <w:color w:val="auto"/>
          <w:sz w:val="24"/>
          <w:szCs w:val="24"/>
          <w:highlight w:val="none"/>
        </w:rPr>
        <w:t xml:space="preserve">； </w:t>
      </w:r>
    </w:p>
    <w:p w14:paraId="33EFB6E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国家有关的验收标准及规范； </w:t>
      </w:r>
    </w:p>
    <w:p w14:paraId="11D27AD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竞争性磋商文件；</w:t>
      </w:r>
    </w:p>
    <w:p w14:paraId="6BC713D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磋商响应文件</w:t>
      </w:r>
      <w:r>
        <w:rPr>
          <w:rFonts w:hint="eastAsia" w:ascii="宋体" w:hAnsi="宋体" w:eastAsia="宋体" w:cs="宋体"/>
          <w:color w:val="auto"/>
          <w:sz w:val="24"/>
          <w:szCs w:val="24"/>
          <w:highlight w:val="none"/>
          <w:lang w:eastAsia="zh-CN"/>
        </w:rPr>
        <w:t>。</w:t>
      </w:r>
    </w:p>
    <w:p w14:paraId="026DD93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其他要求：</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149C754A">
      <w:pPr>
        <w:spacing w:before="50" w:line="222" w:lineRule="auto"/>
        <w:ind w:left="44"/>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第五条、质量保证</w:t>
      </w:r>
    </w:p>
    <w:p w14:paraId="58A4971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（一）成果</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均须符合国家现行有关规范要求。</w:t>
      </w:r>
    </w:p>
    <w:p w14:paraId="1B86229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eastAsia="zh-Hans"/>
        </w:rPr>
      </w:pPr>
      <w:r>
        <w:rPr>
          <w:rFonts w:hint="eastAsia" w:ascii="宋体" w:hAnsi="宋体" w:eastAsia="宋体" w:cs="宋体"/>
          <w:color w:val="auto"/>
          <w:sz w:val="24"/>
          <w:szCs w:val="24"/>
          <w:highlight w:val="none"/>
          <w:lang w:eastAsia="zh-Hans"/>
        </w:rPr>
        <w:t>（二）乙方提供相关</w:t>
      </w:r>
      <w:r>
        <w:rPr>
          <w:rFonts w:hint="eastAsia" w:ascii="宋体" w:hAnsi="宋体" w:eastAsia="宋体" w:cs="宋体"/>
          <w:color w:val="auto"/>
          <w:sz w:val="24"/>
          <w:szCs w:val="24"/>
          <w:highlight w:val="none"/>
        </w:rPr>
        <w:t>资料应</w:t>
      </w:r>
      <w:r>
        <w:rPr>
          <w:rFonts w:hint="eastAsia" w:ascii="宋体" w:hAnsi="宋体" w:eastAsia="宋体" w:cs="宋体"/>
          <w:color w:val="auto"/>
          <w:sz w:val="24"/>
          <w:szCs w:val="24"/>
          <w:highlight w:val="none"/>
          <w:lang w:eastAsia="zh-Hans"/>
        </w:rPr>
        <w:t>确保真实性、可靠性。</w:t>
      </w:r>
    </w:p>
    <w:p w14:paraId="28314710">
      <w:pPr>
        <w:spacing w:before="50" w:line="222" w:lineRule="auto"/>
        <w:ind w:left="44"/>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第六条、合同双方的责任及义务</w:t>
      </w:r>
    </w:p>
    <w:p w14:paraId="657D8D0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（一）甲方的权利及义务</w:t>
      </w:r>
    </w:p>
    <w:p w14:paraId="41DB96C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1．甲方有权向乙方询问工作进展情况及相关的内容。</w:t>
      </w:r>
    </w:p>
    <w:p w14:paraId="5ABD0C2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2．甲方有权阐述对具体问题的意见和建议。</w:t>
      </w:r>
    </w:p>
    <w:p w14:paraId="2591E42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 甲方有权根据项目的具体情况，要求乙方按期到项目现场勘探解决争议。</w:t>
      </w:r>
    </w:p>
    <w:p w14:paraId="34AC108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4．当甲方认定专业技术人员不按合同履行其职责，或与第三人串通给甲方造成损失的，甲方有权要求更换技术专业人员，直至终止合同并要求乙方承担相应的赔偿责任。</w:t>
      </w:r>
    </w:p>
    <w:p w14:paraId="579BB8B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5．甲方应负责与本项目有关的第三人的协调，为乙方工作提供外部条件。</w:t>
      </w:r>
    </w:p>
    <w:p w14:paraId="14507FA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6．甲方应当在约定的时间内，向乙方提供与本项目有关的资料。</w:t>
      </w:r>
    </w:p>
    <w:p w14:paraId="4BA16AB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7．甲方应当按照合同约定支付合同价款。</w:t>
      </w:r>
    </w:p>
    <w:p w14:paraId="70E7841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8．甲方应当授权胜任本项目的代表，负责与乙方联系。</w:t>
      </w:r>
    </w:p>
    <w:p w14:paraId="2604646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二</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rPr>
        <w:t>乙方的权利及义务</w:t>
      </w:r>
    </w:p>
    <w:p w14:paraId="096A7A8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1.乙方在项目实施过程中，发现甲方提供的技术资料、数据或者工作条件等不符合合同的约定或者存在问题的，应及时将情况书面通知甲方。</w:t>
      </w:r>
    </w:p>
    <w:p w14:paraId="54BE27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乙方在项目实施过程中，有权对第三人提出与本业务有关的问题进行核对或查问。</w:t>
      </w:r>
    </w:p>
    <w:p w14:paraId="3A26758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向甲方提供与本项目有关的资料，包括承担本业务的专业人员名单、工作计划等，并按合同专用条件中约定的范围实施业务。</w:t>
      </w:r>
    </w:p>
    <w:p w14:paraId="2EE7CCD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按照合同约定和甲方要求的服务目标提供技术服务，</w:t>
      </w:r>
      <w:r>
        <w:rPr>
          <w:rFonts w:hint="eastAsia" w:ascii="宋体" w:hAnsi="宋体" w:eastAsia="宋体" w:cs="宋体"/>
          <w:color w:val="auto"/>
          <w:sz w:val="24"/>
          <w:szCs w:val="24"/>
          <w:highlight w:val="none"/>
          <w:lang w:val="en-US" w:eastAsia="zh-CN"/>
        </w:rPr>
        <w:t>并</w:t>
      </w:r>
      <w:r>
        <w:rPr>
          <w:rFonts w:hint="eastAsia" w:ascii="宋体" w:hAnsi="宋体" w:eastAsia="宋体" w:cs="宋体"/>
          <w:color w:val="auto"/>
          <w:sz w:val="24"/>
          <w:szCs w:val="24"/>
          <w:highlight w:val="none"/>
        </w:rPr>
        <w:t>提供相关成果资料，保证服务质量。</w:t>
      </w:r>
    </w:p>
    <w:p w14:paraId="43DBA67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技术服务存在质量缺陷的，乙方应负责改进和采取补救措施，以保证服务达到约定质量要求；甲方验收不合格的，乙方应按甲方规定时限进行返工，直至通过甲方验收为止，因此造成延误的，由乙方承担相关责任。</w:t>
      </w:r>
    </w:p>
    <w:p w14:paraId="1C426F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.参与</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的人员必须与磋商响应文件人员配备一致，如需调整，需征得甲方同意，如配备人员无法满足甲方项目需要，乙方应根据甲方要求调整相应人员。</w:t>
      </w:r>
    </w:p>
    <w:p w14:paraId="05897ED0">
      <w:pPr>
        <w:pStyle w:val="2"/>
        <w:spacing w:line="360" w:lineRule="auto"/>
        <w:rPr>
          <w:rFonts w:hint="eastAsia" w:ascii="宋体" w:hAnsi="宋体" w:eastAsia="宋体" w:cs="宋体"/>
          <w:b/>
          <w:bCs/>
          <w:color w:val="auto"/>
          <w:spacing w:val="-4"/>
          <w:kern w:val="2"/>
          <w:sz w:val="28"/>
          <w:szCs w:val="28"/>
          <w:highlight w:val="none"/>
          <w:lang w:val="zh-CN" w:eastAsia="zh-CN" w:bidi="ar-SA"/>
        </w:rPr>
      </w:pPr>
      <w:r>
        <w:rPr>
          <w:rFonts w:hint="eastAsia" w:cs="宋体"/>
          <w:b/>
          <w:bCs/>
          <w:color w:val="auto"/>
          <w:spacing w:val="-4"/>
          <w:kern w:val="2"/>
          <w:sz w:val="28"/>
          <w:szCs w:val="28"/>
          <w:highlight w:val="none"/>
          <w:lang w:val="en-US" w:eastAsia="zh-CN" w:bidi="ar-SA"/>
        </w:rPr>
        <w:t>第七条、</w:t>
      </w:r>
      <w:r>
        <w:rPr>
          <w:rFonts w:hint="eastAsia" w:ascii="宋体" w:hAnsi="宋体" w:eastAsia="宋体" w:cs="宋体"/>
          <w:b/>
          <w:bCs/>
          <w:color w:val="auto"/>
          <w:spacing w:val="-4"/>
          <w:kern w:val="2"/>
          <w:sz w:val="28"/>
          <w:szCs w:val="28"/>
          <w:highlight w:val="none"/>
          <w:lang w:val="zh-CN" w:eastAsia="zh-CN" w:bidi="ar-SA"/>
        </w:rPr>
        <w:t>知识产权</w:t>
      </w:r>
    </w:p>
    <w:p w14:paraId="172408D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lang w:val="zh-CN" w:eastAsia="zh-CN"/>
        </w:rPr>
        <w:t>乙方应保证所提供的服务或其任何一部分均不会侵犯任何第三方的专利权、商标权或著作权；</w:t>
      </w:r>
    </w:p>
    <w:p w14:paraId="2EA2ABB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lang w:val="zh-CN" w:eastAsia="zh-CN"/>
        </w:rPr>
        <w:t>本次服务过程中收集、整理及生成的资料数据及相关成果的知识产权归甲方所有。项目过程中甲方及相关部门提供的资料数据，乙方不得用于或泄露给第三方，否则乙方要承担相应的法律责任和后果。</w:t>
      </w:r>
    </w:p>
    <w:p w14:paraId="3CB5EEC8">
      <w:pPr>
        <w:spacing w:before="50" w:line="222" w:lineRule="auto"/>
        <w:ind w:left="44"/>
        <w:rPr>
          <w:rFonts w:hint="default" w:ascii="宋体" w:hAnsi="宋体" w:eastAsia="宋体" w:cs="宋体"/>
          <w:b/>
          <w:bCs/>
          <w:color w:val="auto"/>
          <w:spacing w:val="-4"/>
          <w:sz w:val="28"/>
          <w:szCs w:val="28"/>
          <w:highlight w:val="none"/>
          <w:lang w:val="zh-CN" w:eastAsia="zh-CN"/>
        </w:rPr>
      </w:pPr>
      <w:r>
        <w:rPr>
          <w:rFonts w:hint="eastAsia" w:ascii="宋体" w:hAnsi="宋体" w:eastAsia="宋体" w:cs="宋体"/>
          <w:b/>
          <w:bCs/>
          <w:color w:val="auto"/>
          <w:spacing w:val="-4"/>
          <w:sz w:val="28"/>
          <w:szCs w:val="28"/>
          <w:highlight w:val="none"/>
        </w:rPr>
        <w:t>第</w:t>
      </w:r>
      <w:r>
        <w:rPr>
          <w:rFonts w:hint="eastAsia" w:ascii="宋体" w:hAnsi="宋体" w:eastAsia="宋体" w:cs="宋体"/>
          <w:b/>
          <w:bCs/>
          <w:color w:val="auto"/>
          <w:spacing w:val="-4"/>
          <w:sz w:val="28"/>
          <w:szCs w:val="28"/>
          <w:highlight w:val="none"/>
          <w:lang w:val="en-US" w:eastAsia="zh-CN"/>
        </w:rPr>
        <w:t>八</w:t>
      </w:r>
      <w:r>
        <w:rPr>
          <w:rFonts w:hint="eastAsia" w:ascii="宋体" w:hAnsi="宋体" w:eastAsia="宋体" w:cs="宋体"/>
          <w:b/>
          <w:bCs/>
          <w:color w:val="auto"/>
          <w:spacing w:val="-4"/>
          <w:sz w:val="28"/>
          <w:szCs w:val="28"/>
          <w:highlight w:val="none"/>
        </w:rPr>
        <w:t>条、</w:t>
      </w:r>
      <w:r>
        <w:rPr>
          <w:rFonts w:hint="eastAsia" w:ascii="宋体" w:hAnsi="宋体" w:cs="宋体"/>
          <w:b/>
          <w:bCs/>
          <w:color w:val="auto"/>
          <w:spacing w:val="-4"/>
          <w:sz w:val="28"/>
          <w:szCs w:val="28"/>
          <w:highlight w:val="none"/>
          <w:lang w:val="en-US" w:eastAsia="zh-CN"/>
        </w:rPr>
        <w:t>保密</w:t>
      </w:r>
      <w:r>
        <w:rPr>
          <w:rFonts w:hint="default" w:ascii="宋体" w:hAnsi="宋体" w:eastAsia="宋体" w:cs="宋体"/>
          <w:b/>
          <w:bCs/>
          <w:color w:val="auto"/>
          <w:spacing w:val="-4"/>
          <w:sz w:val="28"/>
          <w:szCs w:val="28"/>
          <w:highlight w:val="none"/>
          <w:lang w:val="zh-CN" w:eastAsia="zh-CN"/>
        </w:rPr>
        <w:t>义务</w:t>
      </w:r>
    </w:p>
    <w:p w14:paraId="7692DEC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color w:val="auto"/>
          <w:sz w:val="24"/>
          <w:szCs w:val="24"/>
          <w:highlight w:val="none"/>
          <w:lang w:val="zh-CN" w:eastAsia="zh-CN"/>
        </w:rPr>
      </w:pPr>
      <w:r>
        <w:rPr>
          <w:rFonts w:hint="default" w:ascii="宋体" w:hAnsi="宋体" w:eastAsia="宋体" w:cs="宋体"/>
          <w:color w:val="auto"/>
          <w:sz w:val="24"/>
          <w:szCs w:val="24"/>
          <w:highlight w:val="none"/>
          <w:lang w:val="zh-CN" w:eastAsia="zh-CN"/>
        </w:rPr>
        <w:t>1.任何一方对其获知的本合同及附件中其他方的商业秘密和国家秘密负有保密义务。</w:t>
      </w:r>
    </w:p>
    <w:p w14:paraId="7EBC27A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color w:val="auto"/>
          <w:sz w:val="24"/>
          <w:szCs w:val="24"/>
          <w:highlight w:val="none"/>
          <w:lang w:val="zh-CN" w:eastAsia="zh-CN"/>
        </w:rPr>
      </w:pPr>
      <w:r>
        <w:rPr>
          <w:rFonts w:hint="default" w:ascii="宋体" w:hAnsi="宋体" w:eastAsia="宋体" w:cs="宋体"/>
          <w:color w:val="auto"/>
          <w:sz w:val="24"/>
          <w:szCs w:val="24"/>
          <w:highlight w:val="none"/>
          <w:lang w:val="zh-CN" w:eastAsia="zh-CN"/>
        </w:rPr>
        <w:t>2.对于甲方提供的技术资料和政策文件，乙方负有保密义务，不得向其它方泄露，保密期限为乙方获得技术资料和政策文件之日起至该资料成为公众信息之日止。</w:t>
      </w:r>
    </w:p>
    <w:p w14:paraId="65CC979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color w:val="auto"/>
          <w:sz w:val="24"/>
          <w:szCs w:val="24"/>
          <w:highlight w:val="none"/>
          <w:lang w:val="zh-CN" w:eastAsia="zh-CN"/>
        </w:rPr>
      </w:pPr>
      <w:r>
        <w:rPr>
          <w:rFonts w:hint="default" w:ascii="宋体" w:hAnsi="宋体" w:eastAsia="宋体" w:cs="宋体"/>
          <w:color w:val="auto"/>
          <w:sz w:val="24"/>
          <w:szCs w:val="24"/>
          <w:highlight w:val="none"/>
          <w:lang w:val="zh-CN" w:eastAsia="zh-CN"/>
        </w:rPr>
        <w:t>3.除非法律、法规另有规定或得到本合同双方的书面许可，任何一方不得向其它人泄露前款规定的商业秘密和国家秘密。保密期限自任何一方获知该商业秘密和国家秘密之日起至本条规定的秘密成为公众信息之日止。</w:t>
      </w:r>
    </w:p>
    <w:p w14:paraId="7507693E">
      <w:pPr>
        <w:spacing w:before="50" w:line="222" w:lineRule="auto"/>
        <w:ind w:left="44"/>
        <w:rPr>
          <w:rFonts w:hint="eastAsia" w:ascii="宋体" w:hAnsi="宋体" w:eastAsia="宋体" w:cs="宋体"/>
          <w:b/>
          <w:bCs/>
          <w:color w:val="auto"/>
          <w:spacing w:val="-4"/>
          <w:sz w:val="28"/>
          <w:szCs w:val="28"/>
          <w:highlight w:val="none"/>
          <w:lang w:val="en-US" w:eastAsia="zh-CN"/>
        </w:rPr>
      </w:pPr>
      <w:r>
        <w:rPr>
          <w:rFonts w:hint="eastAsia" w:ascii="宋体" w:hAnsi="宋体" w:cs="宋体"/>
          <w:b/>
          <w:bCs/>
          <w:color w:val="auto"/>
          <w:spacing w:val="-4"/>
          <w:sz w:val="28"/>
          <w:szCs w:val="28"/>
          <w:highlight w:val="none"/>
          <w:lang w:val="en-US" w:eastAsia="zh-CN"/>
        </w:rPr>
        <w:t>第九条、</w:t>
      </w:r>
      <w:r>
        <w:rPr>
          <w:rFonts w:hint="eastAsia" w:ascii="宋体" w:hAnsi="宋体" w:eastAsia="宋体" w:cs="宋体"/>
          <w:b/>
          <w:bCs/>
          <w:color w:val="auto"/>
          <w:spacing w:val="-4"/>
          <w:sz w:val="28"/>
          <w:szCs w:val="28"/>
          <w:highlight w:val="none"/>
          <w:lang w:val="en-US" w:eastAsia="zh-CN"/>
        </w:rPr>
        <w:t>违约责任及解决争议的方法</w:t>
      </w:r>
    </w:p>
    <w:p w14:paraId="6AA1F21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（一）按《中华人民共和国政府采购法》《中华人民共和国民法典》中的相关条款执行。 </w:t>
      </w:r>
    </w:p>
    <w:p w14:paraId="782B0EE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本合同在履行过程中发生的争议，由甲、乙双方当事人协商解决，协商不成的依法向甲方所在地法院起诉。</w:t>
      </w:r>
    </w:p>
    <w:p w14:paraId="0B4EBDF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color w:val="auto"/>
          <w:highlight w:val="none"/>
          <w:lang w:eastAsia="zh-CN"/>
        </w:rPr>
      </w:pPr>
      <w:r>
        <w:rPr>
          <w:rFonts w:hint="eastAsia" w:ascii="宋体" w:hAnsi="宋体" w:eastAsia="宋体" w:cs="宋体"/>
          <w:color w:val="auto"/>
          <w:sz w:val="24"/>
          <w:szCs w:val="24"/>
          <w:highlight w:val="none"/>
          <w:lang w:val="en-US" w:eastAsia="zh-CN"/>
        </w:rPr>
        <w:t>（三）乙方违反本合同保密条款的，应承担违约责任。如果给甲方造成经济损失，乙方应赔偿甲方的直接经济损失及承担甲方因此而支出的一切合理费用（包括但不限于律师费、案件受理费、执行费、差旅费等）；如果因乙方恶意泄露信息资料，给甲方造成严重后果的，除应赔偿甲方的直接经济损失及承担甲方因此而支出的一切合理费用外，甲方将通过法律手段追究乙方责任。构成犯罪的，甲方有权移交相关部门。</w:t>
      </w:r>
    </w:p>
    <w:p w14:paraId="1F5E71CA">
      <w:pPr>
        <w:spacing w:before="50" w:line="222" w:lineRule="auto"/>
        <w:ind w:left="44"/>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第</w:t>
      </w:r>
      <w:r>
        <w:rPr>
          <w:rFonts w:hint="eastAsia" w:ascii="宋体" w:hAnsi="宋体" w:cs="宋体"/>
          <w:b/>
          <w:bCs/>
          <w:color w:val="auto"/>
          <w:spacing w:val="-4"/>
          <w:sz w:val="28"/>
          <w:szCs w:val="28"/>
          <w:highlight w:val="none"/>
          <w:lang w:val="en-US" w:eastAsia="zh-CN"/>
        </w:rPr>
        <w:t>十</w:t>
      </w:r>
      <w:r>
        <w:rPr>
          <w:rFonts w:hint="eastAsia" w:ascii="宋体" w:hAnsi="宋体" w:eastAsia="宋体" w:cs="宋体"/>
          <w:b/>
          <w:bCs/>
          <w:color w:val="auto"/>
          <w:spacing w:val="-4"/>
          <w:sz w:val="28"/>
          <w:szCs w:val="28"/>
          <w:highlight w:val="none"/>
        </w:rPr>
        <w:t>条、合同终止</w:t>
      </w:r>
    </w:p>
    <w:p w14:paraId="666F86B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1、合同期间任何一方不得随意终止合同。</w:t>
      </w:r>
    </w:p>
    <w:p w14:paraId="2C8BC8D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2、因双方机构撤并、职能调整等原因，确系需终止合同的，双方可协商终止合同。</w:t>
      </w:r>
    </w:p>
    <w:p w14:paraId="5A9CF3D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3、乙方应自觉遵守甲方工作纪律、规章制度，服从甲方管理。因乙方原因给甲方造成严重后果，甲方可以单方面解除合同。</w:t>
      </w:r>
    </w:p>
    <w:p w14:paraId="24297F55">
      <w:pPr>
        <w:spacing w:before="50" w:line="222" w:lineRule="auto"/>
        <w:ind w:left="44"/>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第</w:t>
      </w:r>
      <w:r>
        <w:rPr>
          <w:rFonts w:hint="eastAsia" w:ascii="宋体" w:hAnsi="宋体" w:eastAsia="宋体" w:cs="宋体"/>
          <w:b/>
          <w:bCs/>
          <w:color w:val="auto"/>
          <w:spacing w:val="-4"/>
          <w:sz w:val="28"/>
          <w:szCs w:val="28"/>
          <w:highlight w:val="none"/>
          <w:lang w:val="en-US" w:eastAsia="zh-CN"/>
        </w:rPr>
        <w:t>十</w:t>
      </w:r>
      <w:r>
        <w:rPr>
          <w:rFonts w:hint="eastAsia" w:ascii="宋体" w:hAnsi="宋体" w:cs="宋体"/>
          <w:b/>
          <w:bCs/>
          <w:color w:val="auto"/>
          <w:spacing w:val="-4"/>
          <w:sz w:val="28"/>
          <w:szCs w:val="28"/>
          <w:highlight w:val="none"/>
          <w:lang w:val="en-US" w:eastAsia="zh-CN"/>
        </w:rPr>
        <w:t>一</w:t>
      </w:r>
      <w:r>
        <w:rPr>
          <w:rFonts w:hint="eastAsia" w:ascii="宋体" w:hAnsi="宋体" w:eastAsia="宋体" w:cs="宋体"/>
          <w:b/>
          <w:bCs/>
          <w:color w:val="auto"/>
          <w:spacing w:val="-4"/>
          <w:sz w:val="28"/>
          <w:szCs w:val="28"/>
          <w:highlight w:val="none"/>
        </w:rPr>
        <w:t>条、不可抗力</w:t>
      </w:r>
    </w:p>
    <w:p w14:paraId="638F170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14:paraId="1AE1CED7">
      <w:pPr>
        <w:spacing w:before="50" w:line="222" w:lineRule="auto"/>
        <w:ind w:left="44"/>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第十</w:t>
      </w:r>
      <w:r>
        <w:rPr>
          <w:rFonts w:hint="eastAsia" w:ascii="宋体" w:hAnsi="宋体" w:cs="宋体"/>
          <w:b/>
          <w:bCs/>
          <w:color w:val="auto"/>
          <w:spacing w:val="-4"/>
          <w:sz w:val="28"/>
          <w:szCs w:val="28"/>
          <w:highlight w:val="none"/>
          <w:lang w:val="en-US" w:eastAsia="zh-CN"/>
        </w:rPr>
        <w:t>二</w:t>
      </w:r>
      <w:r>
        <w:rPr>
          <w:rFonts w:hint="eastAsia" w:ascii="宋体" w:hAnsi="宋体" w:eastAsia="宋体" w:cs="宋体"/>
          <w:b/>
          <w:bCs/>
          <w:color w:val="auto"/>
          <w:spacing w:val="-4"/>
          <w:sz w:val="28"/>
          <w:szCs w:val="28"/>
          <w:highlight w:val="none"/>
        </w:rPr>
        <w:t>条、监督和管理</w:t>
      </w:r>
    </w:p>
    <w:p w14:paraId="41BDD9E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1、政府采购合同履行中，采购人需追加与合同标的相同的货物、工程或者服务的，在不改变合同其他条款的前提下，可以与供应商协商签订补充合同，但所有补充合同的</w:t>
      </w:r>
      <w:r>
        <w:rPr>
          <w:rFonts w:hint="eastAsia" w:ascii="宋体" w:hAnsi="宋体" w:eastAsia="宋体" w:cs="宋体"/>
          <w:color w:val="auto"/>
          <w:sz w:val="24"/>
          <w:szCs w:val="24"/>
          <w:highlight w:val="none"/>
          <w:lang w:val="en-US" w:eastAsia="zh-CN"/>
        </w:rPr>
        <w:t>总</w:t>
      </w:r>
      <w:r>
        <w:rPr>
          <w:rFonts w:hint="eastAsia" w:ascii="宋体" w:hAnsi="宋体" w:eastAsia="宋体" w:cs="宋体"/>
          <w:color w:val="auto"/>
          <w:sz w:val="24"/>
          <w:szCs w:val="24"/>
          <w:highlight w:val="none"/>
        </w:rPr>
        <w:t>金额不得超过原合同采购金额的10%。</w:t>
      </w:r>
    </w:p>
    <w:p w14:paraId="50D39B7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2、甲乙双方均应自觉配合有关监督管理部门对合同履行情况的监督检查，如实反映情况，提供有关资料；否则，将对有关单位、当事人按照有关规定予以处罚。</w:t>
      </w:r>
    </w:p>
    <w:p w14:paraId="082FFD82">
      <w:pPr>
        <w:spacing w:before="50" w:line="222" w:lineRule="auto"/>
        <w:ind w:left="44"/>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第十</w:t>
      </w:r>
      <w:r>
        <w:rPr>
          <w:rFonts w:hint="eastAsia" w:ascii="宋体" w:hAnsi="宋体" w:cs="宋体"/>
          <w:b/>
          <w:bCs/>
          <w:color w:val="auto"/>
          <w:spacing w:val="-4"/>
          <w:sz w:val="28"/>
          <w:szCs w:val="28"/>
          <w:highlight w:val="none"/>
          <w:lang w:val="en-US" w:eastAsia="zh-CN"/>
        </w:rPr>
        <w:t>三</w:t>
      </w:r>
      <w:r>
        <w:rPr>
          <w:rFonts w:hint="eastAsia" w:ascii="宋体" w:hAnsi="宋体" w:eastAsia="宋体" w:cs="宋体"/>
          <w:b/>
          <w:bCs/>
          <w:color w:val="auto"/>
          <w:spacing w:val="-4"/>
          <w:sz w:val="28"/>
          <w:szCs w:val="28"/>
          <w:highlight w:val="none"/>
        </w:rPr>
        <w:t>条、无效合同</w:t>
      </w:r>
    </w:p>
    <w:p w14:paraId="55FCD85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甲乙双方如因违反政府采购法及相关法律法规的规定，被</w:t>
      </w:r>
      <w:r>
        <w:rPr>
          <w:rFonts w:hint="eastAsia" w:ascii="宋体" w:hAnsi="宋体" w:eastAsia="宋体" w:cs="宋体"/>
          <w:color w:val="auto"/>
          <w:sz w:val="24"/>
          <w:szCs w:val="24"/>
          <w:highlight w:val="none"/>
          <w:lang w:val="en-US" w:eastAsia="zh-CN"/>
        </w:rPr>
        <w:t>宣告</w:t>
      </w:r>
      <w:r>
        <w:rPr>
          <w:rFonts w:hint="eastAsia" w:ascii="宋体" w:hAnsi="宋体" w:eastAsia="宋体" w:cs="宋体"/>
          <w:color w:val="auto"/>
          <w:sz w:val="24"/>
          <w:szCs w:val="24"/>
          <w:highlight w:val="none"/>
        </w:rPr>
        <w:t>合同无效</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，一切责任概由过错方自行承担。</w:t>
      </w:r>
    </w:p>
    <w:p w14:paraId="7C05FBD2">
      <w:pPr>
        <w:spacing w:before="50" w:line="222" w:lineRule="auto"/>
        <w:ind w:left="44"/>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第十</w:t>
      </w:r>
      <w:r>
        <w:rPr>
          <w:rFonts w:hint="eastAsia" w:ascii="宋体" w:hAnsi="宋体" w:cs="宋体"/>
          <w:b/>
          <w:bCs/>
          <w:color w:val="auto"/>
          <w:spacing w:val="-4"/>
          <w:sz w:val="28"/>
          <w:szCs w:val="28"/>
          <w:highlight w:val="none"/>
          <w:lang w:val="en-US" w:eastAsia="zh-CN"/>
        </w:rPr>
        <w:t>四</w:t>
      </w:r>
      <w:r>
        <w:rPr>
          <w:rFonts w:hint="eastAsia" w:ascii="宋体" w:hAnsi="宋体" w:eastAsia="宋体" w:cs="宋体"/>
          <w:b/>
          <w:bCs/>
          <w:color w:val="auto"/>
          <w:spacing w:val="-4"/>
          <w:sz w:val="28"/>
          <w:szCs w:val="28"/>
          <w:highlight w:val="none"/>
        </w:rPr>
        <w:t>条、信用融资(如有)</w:t>
      </w:r>
    </w:p>
    <w:p w14:paraId="26BF365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银行名称：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收款账号：</w:t>
      </w:r>
      <w:r>
        <w:rPr>
          <w:rFonts w:hint="eastAsia" w:ascii="宋体" w:hAnsi="宋体" w:eastAsia="宋体" w:cs="宋体"/>
          <w:color w:val="auto"/>
          <w:sz w:val="24"/>
          <w:szCs w:val="24"/>
          <w:highlight w:val="none"/>
          <w:u w:val="single"/>
        </w:rPr>
        <w:t xml:space="preserve">          </w:t>
      </w:r>
    </w:p>
    <w:p w14:paraId="7CC6BD75">
      <w:pPr>
        <w:spacing w:before="50" w:line="222" w:lineRule="auto"/>
        <w:ind w:left="44"/>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第十</w:t>
      </w:r>
      <w:r>
        <w:rPr>
          <w:rFonts w:hint="eastAsia" w:ascii="宋体" w:hAnsi="宋体" w:cs="宋体"/>
          <w:b/>
          <w:bCs/>
          <w:color w:val="auto"/>
          <w:spacing w:val="-4"/>
          <w:sz w:val="28"/>
          <w:szCs w:val="28"/>
          <w:highlight w:val="none"/>
          <w:lang w:val="en-US" w:eastAsia="zh-CN"/>
        </w:rPr>
        <w:t>五</w:t>
      </w:r>
      <w:r>
        <w:rPr>
          <w:rFonts w:hint="eastAsia" w:ascii="宋体" w:hAnsi="宋体" w:eastAsia="宋体" w:cs="宋体"/>
          <w:b/>
          <w:bCs/>
          <w:color w:val="auto"/>
          <w:spacing w:val="-4"/>
          <w:sz w:val="28"/>
          <w:szCs w:val="28"/>
          <w:highlight w:val="none"/>
        </w:rPr>
        <w:t>条、附则</w:t>
      </w:r>
    </w:p>
    <w:p w14:paraId="72FB717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1、本次采购项目的</w:t>
      </w:r>
      <w:r>
        <w:rPr>
          <w:rFonts w:hint="eastAsia" w:ascii="宋体" w:hAnsi="宋体" w:eastAsia="宋体" w:cs="宋体"/>
          <w:color w:val="auto"/>
          <w:sz w:val="24"/>
          <w:szCs w:val="24"/>
          <w:highlight w:val="none"/>
          <w:lang w:val="en-US" w:eastAsia="zh-CN"/>
        </w:rPr>
        <w:t>采购文件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val="en-US" w:eastAsia="zh-CN"/>
        </w:rPr>
        <w:t>中标（成交）</w:t>
      </w:r>
      <w:r>
        <w:rPr>
          <w:rFonts w:hint="eastAsia" w:ascii="宋体" w:hAnsi="宋体" w:eastAsia="宋体" w:cs="宋体"/>
          <w:color w:val="auto"/>
          <w:sz w:val="24"/>
          <w:szCs w:val="24"/>
          <w:highlight w:val="none"/>
        </w:rPr>
        <w:t>通知书及澄清说明文件均为本合同的组成部分，甲、乙双方必须全面遵守，如有违反，应承担违约责任。</w:t>
      </w:r>
    </w:p>
    <w:p w14:paraId="0A45AAE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2、本合同一式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份，甲乙双方各执</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w:t>
      </w:r>
    </w:p>
    <w:p w14:paraId="6DF25D0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3、本合同自签订之日起生效。</w:t>
      </w:r>
    </w:p>
    <w:p w14:paraId="2580528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4、附件</w:t>
      </w:r>
      <w:r>
        <w:rPr>
          <w:rFonts w:hint="eastAsia" w:ascii="宋体" w:hAnsi="宋体" w:eastAsia="宋体" w:cs="宋体"/>
          <w:color w:val="auto"/>
          <w:sz w:val="24"/>
          <w:szCs w:val="24"/>
          <w:highlight w:val="none"/>
          <w:lang w:eastAsia="zh-CN"/>
        </w:rPr>
        <w:t>。</w:t>
      </w:r>
    </w:p>
    <w:p w14:paraId="16B5BC8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lang w:eastAsia="zh-CN"/>
        </w:rPr>
        <w:t>（本页为签署页</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以下无正文)</w:t>
      </w:r>
    </w:p>
    <w:p w14:paraId="7E888878">
      <w:pPr>
        <w:jc w:val="center"/>
        <w:rPr>
          <w:rFonts w:hint="eastAsia" w:ascii="宋体" w:hAnsi="宋体" w:eastAsia="宋体" w:cs="宋体"/>
          <w:color w:val="auto"/>
          <w:sz w:val="24"/>
          <w:szCs w:val="24"/>
          <w:highlight w:val="none"/>
        </w:rPr>
      </w:pPr>
    </w:p>
    <w:tbl>
      <w:tblPr>
        <w:tblStyle w:val="5"/>
        <w:tblW w:w="8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60"/>
        <w:gridCol w:w="4460"/>
      </w:tblGrid>
      <w:tr w14:paraId="62E9B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6" w:hRule="atLeast"/>
        </w:trPr>
        <w:tc>
          <w:tcPr>
            <w:tcW w:w="4460" w:type="dxa"/>
          </w:tcPr>
          <w:p w14:paraId="14BFF84B">
            <w:pPr>
              <w:rPr>
                <w:rFonts w:hint="eastAsia"/>
                <w:color w:val="auto"/>
                <w:highlight w:val="none"/>
                <w:vertAlign w:val="baseline"/>
                <w:lang w:val="en-US" w:eastAsia="zh-Hans"/>
              </w:rPr>
            </w:pPr>
            <w:r>
              <w:rPr>
                <w:rFonts w:hint="eastAsia" w:ascii="宋体" w:hAnsi="宋体" w:eastAsia="宋体" w:cs="宋体"/>
                <w:color w:val="auto"/>
                <w:sz w:val="24"/>
                <w:szCs w:val="24"/>
                <w:highlight w:val="none"/>
              </w:rPr>
              <w:t>采购人(甲方)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(公章)</w:t>
            </w:r>
          </w:p>
        </w:tc>
        <w:tc>
          <w:tcPr>
            <w:tcW w:w="4460" w:type="dxa"/>
          </w:tcPr>
          <w:p w14:paraId="584ED928">
            <w:pPr>
              <w:rPr>
                <w:rFonts w:hint="eastAsia"/>
                <w:color w:val="auto"/>
                <w:highlight w:val="none"/>
                <w:vertAlign w:val="baseline"/>
                <w:lang w:val="en-US" w:eastAsia="zh-Hans"/>
              </w:rPr>
            </w:pPr>
            <w:r>
              <w:rPr>
                <w:rFonts w:hint="eastAsia" w:ascii="宋体" w:hAnsi="宋体" w:eastAsia="宋体" w:cs="宋体"/>
                <w:color w:val="auto"/>
                <w:sz w:val="24"/>
                <w:szCs w:val="24"/>
                <w:highlight w:val="none"/>
              </w:rPr>
              <w:t>供应商(乙方)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(公章)</w:t>
            </w:r>
          </w:p>
        </w:tc>
      </w:tr>
      <w:tr w14:paraId="6B273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4460" w:type="dxa"/>
          </w:tcPr>
          <w:p w14:paraId="7ACAEE37">
            <w:pPr>
              <w:rPr>
                <w:rFonts w:hint="eastAsia"/>
                <w:color w:val="auto"/>
                <w:highlight w:val="none"/>
                <w:vertAlign w:val="baseline"/>
                <w:lang w:val="en-US" w:eastAsia="zh-Hans"/>
              </w:rPr>
            </w:pPr>
            <w:r>
              <w:rPr>
                <w:rFonts w:hint="eastAsia" w:ascii="宋体" w:hAnsi="宋体" w:eastAsia="宋体" w:cs="宋体"/>
                <w:color w:val="auto"/>
                <w:sz w:val="24"/>
                <w:szCs w:val="24"/>
                <w:highlight w:val="none"/>
              </w:rPr>
              <w:t>地址：</w:t>
            </w:r>
          </w:p>
        </w:tc>
        <w:tc>
          <w:tcPr>
            <w:tcW w:w="4460" w:type="dxa"/>
          </w:tcPr>
          <w:p w14:paraId="5CEB789D">
            <w:pPr>
              <w:rPr>
                <w:rFonts w:hint="eastAsia"/>
                <w:color w:val="auto"/>
                <w:highlight w:val="none"/>
                <w:vertAlign w:val="baseline"/>
                <w:lang w:val="en-US" w:eastAsia="zh-Hans"/>
              </w:rPr>
            </w:pPr>
            <w:r>
              <w:rPr>
                <w:rFonts w:hint="eastAsia" w:ascii="宋体" w:hAnsi="宋体" w:eastAsia="宋体" w:cs="宋体"/>
                <w:color w:val="auto"/>
                <w:sz w:val="24"/>
                <w:szCs w:val="24"/>
                <w:highlight w:val="none"/>
                <w:lang w:val="en-US" w:eastAsia="zh-CN"/>
              </w:rPr>
              <w:t>地址：</w:t>
            </w:r>
          </w:p>
        </w:tc>
      </w:tr>
      <w:tr w14:paraId="47E0B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4460" w:type="dxa"/>
          </w:tcPr>
          <w:p w14:paraId="229C962E">
            <w:pPr>
              <w:rPr>
                <w:rFonts w:hint="eastAsia"/>
                <w:color w:val="auto"/>
                <w:highlight w:val="none"/>
                <w:vertAlign w:val="baseline"/>
                <w:lang w:val="en-US" w:eastAsia="zh-Hans"/>
              </w:rPr>
            </w:pP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(签字或盖章)</w:t>
            </w:r>
          </w:p>
        </w:tc>
        <w:tc>
          <w:tcPr>
            <w:tcW w:w="4460" w:type="dxa"/>
          </w:tcPr>
          <w:p w14:paraId="5A57D3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vertAlign w:val="baseline"/>
                <w:lang w:val="en-US" w:eastAsia="zh-Hans"/>
              </w:rPr>
            </w:pP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(签字或盖章)</w:t>
            </w:r>
          </w:p>
        </w:tc>
      </w:tr>
      <w:tr w14:paraId="5E5A7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4460" w:type="dxa"/>
          </w:tcPr>
          <w:p w14:paraId="78DF832C">
            <w:pPr>
              <w:rPr>
                <w:rFonts w:hint="eastAsia"/>
                <w:color w:val="auto"/>
                <w:highlight w:val="none"/>
                <w:vertAlign w:val="baseline"/>
                <w:lang w:val="en-US" w:eastAsia="zh-Hans"/>
              </w:rPr>
            </w:pPr>
            <w:r>
              <w:rPr>
                <w:rFonts w:hint="eastAsia" w:ascii="宋体" w:hAnsi="宋体" w:eastAsia="宋体" w:cs="宋体"/>
                <w:color w:val="auto"/>
                <w:sz w:val="24"/>
                <w:szCs w:val="24"/>
                <w:highlight w:val="none"/>
              </w:rPr>
              <w:t>开户银行：</w:t>
            </w:r>
          </w:p>
        </w:tc>
        <w:tc>
          <w:tcPr>
            <w:tcW w:w="4460" w:type="dxa"/>
          </w:tcPr>
          <w:p w14:paraId="2A9C939F">
            <w:pPr>
              <w:rPr>
                <w:rFonts w:hint="eastAsia"/>
                <w:color w:val="auto"/>
                <w:highlight w:val="none"/>
                <w:vertAlign w:val="baseline"/>
                <w:lang w:val="en-US" w:eastAsia="zh-Hans"/>
              </w:rPr>
            </w:pPr>
            <w:r>
              <w:rPr>
                <w:rFonts w:hint="eastAsia" w:ascii="宋体" w:hAnsi="宋体" w:eastAsia="宋体" w:cs="宋体"/>
                <w:color w:val="auto"/>
                <w:sz w:val="24"/>
                <w:szCs w:val="24"/>
                <w:highlight w:val="none"/>
              </w:rPr>
              <w:t>开户银行：</w:t>
            </w:r>
          </w:p>
        </w:tc>
      </w:tr>
      <w:tr w14:paraId="56C6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4460" w:type="dxa"/>
          </w:tcPr>
          <w:p w14:paraId="639B9BCE">
            <w:pPr>
              <w:rPr>
                <w:rFonts w:hint="eastAsia"/>
                <w:color w:val="auto"/>
                <w:highlight w:val="none"/>
                <w:vertAlign w:val="baseline"/>
                <w:lang w:val="en-US" w:eastAsia="zh-Hans"/>
              </w:rPr>
            </w:pPr>
            <w:r>
              <w:rPr>
                <w:rFonts w:hint="eastAsia" w:ascii="宋体" w:hAnsi="宋体" w:eastAsia="宋体" w:cs="宋体"/>
                <w:color w:val="auto"/>
                <w:sz w:val="24"/>
                <w:szCs w:val="24"/>
                <w:highlight w:val="none"/>
              </w:rPr>
              <w:t>账    号：</w:t>
            </w:r>
          </w:p>
        </w:tc>
        <w:tc>
          <w:tcPr>
            <w:tcW w:w="4460" w:type="dxa"/>
          </w:tcPr>
          <w:p w14:paraId="7A446152">
            <w:pPr>
              <w:rPr>
                <w:rFonts w:hint="eastAsia"/>
                <w:color w:val="auto"/>
                <w:highlight w:val="none"/>
                <w:vertAlign w:val="baseline"/>
                <w:lang w:val="en-US" w:eastAsia="zh-Hans"/>
              </w:rPr>
            </w:pPr>
            <w:r>
              <w:rPr>
                <w:rFonts w:hint="eastAsia" w:ascii="宋体" w:hAnsi="宋体" w:eastAsia="宋体" w:cs="宋体"/>
                <w:color w:val="auto"/>
                <w:sz w:val="24"/>
                <w:szCs w:val="24"/>
                <w:highlight w:val="none"/>
              </w:rPr>
              <w:t>账    号：</w:t>
            </w:r>
          </w:p>
        </w:tc>
      </w:tr>
      <w:tr w14:paraId="579C6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4460" w:type="dxa"/>
          </w:tcPr>
          <w:p w14:paraId="17EC4D39">
            <w:pPr>
              <w:rPr>
                <w:rFonts w:hint="eastAsia"/>
                <w:color w:val="auto"/>
                <w:highlight w:val="none"/>
                <w:vertAlign w:val="baseline"/>
                <w:lang w:val="en-US" w:eastAsia="zh-Hans"/>
              </w:rPr>
            </w:pPr>
            <w:r>
              <w:rPr>
                <w:rFonts w:hint="eastAsia" w:ascii="宋体" w:hAnsi="宋体" w:eastAsia="宋体" w:cs="宋体"/>
                <w:color w:val="auto"/>
                <w:sz w:val="24"/>
                <w:szCs w:val="24"/>
                <w:highlight w:val="none"/>
              </w:rPr>
              <w:t>电    话：</w:t>
            </w:r>
          </w:p>
        </w:tc>
        <w:tc>
          <w:tcPr>
            <w:tcW w:w="4460" w:type="dxa"/>
          </w:tcPr>
          <w:p w14:paraId="37BACED0">
            <w:pPr>
              <w:rPr>
                <w:rFonts w:hint="eastAsia"/>
                <w:color w:val="auto"/>
                <w:highlight w:val="none"/>
                <w:vertAlign w:val="baseline"/>
                <w:lang w:val="en-US" w:eastAsia="zh-Hans"/>
              </w:rPr>
            </w:pPr>
            <w:r>
              <w:rPr>
                <w:rFonts w:hint="eastAsia" w:ascii="宋体" w:hAnsi="宋体" w:eastAsia="宋体" w:cs="宋体"/>
                <w:color w:val="auto"/>
                <w:sz w:val="24"/>
                <w:szCs w:val="24"/>
                <w:highlight w:val="none"/>
              </w:rPr>
              <w:t>电    话：</w:t>
            </w:r>
          </w:p>
        </w:tc>
      </w:tr>
      <w:tr w14:paraId="7A418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4460" w:type="dxa"/>
          </w:tcPr>
          <w:p w14:paraId="09B2ADA2">
            <w:pPr>
              <w:rPr>
                <w:rFonts w:hint="eastAsia"/>
                <w:color w:val="auto"/>
                <w:highlight w:val="none"/>
                <w:vertAlign w:val="baseline"/>
                <w:lang w:val="en-US" w:eastAsia="zh-Hans"/>
              </w:rPr>
            </w:pPr>
            <w:r>
              <w:rPr>
                <w:rFonts w:hint="eastAsia" w:ascii="宋体" w:hAnsi="宋体" w:eastAsia="宋体" w:cs="宋体"/>
                <w:color w:val="auto"/>
                <w:sz w:val="24"/>
                <w:szCs w:val="24"/>
                <w:highlight w:val="none"/>
              </w:rPr>
              <w:t>地    址：</w:t>
            </w:r>
          </w:p>
        </w:tc>
        <w:tc>
          <w:tcPr>
            <w:tcW w:w="4460" w:type="dxa"/>
          </w:tcPr>
          <w:p w14:paraId="5131C8A3">
            <w:pPr>
              <w:rPr>
                <w:rFonts w:hint="eastAsia"/>
                <w:color w:val="auto"/>
                <w:highlight w:val="none"/>
                <w:vertAlign w:val="baseline"/>
                <w:lang w:val="en-US" w:eastAsia="zh-Hans"/>
              </w:rPr>
            </w:pPr>
            <w:r>
              <w:rPr>
                <w:rFonts w:hint="eastAsia" w:ascii="宋体" w:hAnsi="宋体" w:eastAsia="宋体" w:cs="宋体"/>
                <w:color w:val="auto"/>
                <w:sz w:val="24"/>
                <w:szCs w:val="24"/>
                <w:highlight w:val="none"/>
              </w:rPr>
              <w:t>地    址：</w:t>
            </w:r>
          </w:p>
        </w:tc>
      </w:tr>
      <w:tr w14:paraId="19C67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4460" w:type="dxa"/>
          </w:tcPr>
          <w:p w14:paraId="42C4644F">
            <w:pPr>
              <w:rPr>
                <w:rFonts w:hint="eastAsia"/>
                <w:color w:val="auto"/>
                <w:highlight w:val="none"/>
                <w:vertAlign w:val="baseline"/>
                <w:lang w:val="en-US" w:eastAsia="zh-Hans"/>
              </w:rPr>
            </w:pPr>
            <w:r>
              <w:rPr>
                <w:rFonts w:hint="eastAsia" w:ascii="宋体" w:hAnsi="宋体" w:eastAsia="宋体" w:cs="宋体"/>
                <w:color w:val="auto"/>
                <w:sz w:val="24"/>
                <w:szCs w:val="24"/>
                <w:highlight w:val="none"/>
              </w:rPr>
              <w:t>时    间：     年  月  日</w:t>
            </w:r>
          </w:p>
        </w:tc>
        <w:tc>
          <w:tcPr>
            <w:tcW w:w="4460" w:type="dxa"/>
          </w:tcPr>
          <w:p w14:paraId="7ED7F144">
            <w:pPr>
              <w:rPr>
                <w:rFonts w:hint="eastAsia"/>
                <w:color w:val="auto"/>
                <w:highlight w:val="none"/>
                <w:vertAlign w:val="baseline"/>
                <w:lang w:val="en-US" w:eastAsia="zh-Hans"/>
              </w:rPr>
            </w:pPr>
            <w:r>
              <w:rPr>
                <w:rFonts w:hint="eastAsia" w:ascii="宋体" w:hAnsi="宋体" w:eastAsia="宋体" w:cs="宋体"/>
                <w:color w:val="auto"/>
                <w:sz w:val="24"/>
                <w:szCs w:val="24"/>
                <w:highlight w:val="none"/>
              </w:rPr>
              <w:t>时    间：     年  月  日</w:t>
            </w:r>
          </w:p>
        </w:tc>
      </w:tr>
    </w:tbl>
    <w:p w14:paraId="49389C01">
      <w:pPr>
        <w:rPr>
          <w:rFonts w:hint="eastAsia"/>
          <w:color w:val="auto"/>
          <w:highlight w:val="none"/>
          <w:lang w:val="en-US" w:eastAsia="zh-Hans"/>
        </w:rPr>
      </w:pPr>
    </w:p>
    <w:p w14:paraId="046735EE">
      <w:pPr>
        <w:rPr>
          <w:color w:val="auto"/>
          <w:highlight w:val="none"/>
        </w:rPr>
      </w:pPr>
    </w:p>
    <w:p w14:paraId="219318BE">
      <w:pPr>
        <w:pStyle w:val="7"/>
        <w:rPr>
          <w:rFonts w:hint="eastAsia"/>
          <w:color w:val="auto"/>
          <w:highlight w:val="none"/>
          <w:lang w:val="en-US" w:eastAsia="zh-Hans"/>
        </w:rPr>
      </w:pPr>
    </w:p>
    <w:p w14:paraId="4AEC177E">
      <w:pPr>
        <w:rPr>
          <w:color w:val="auto"/>
          <w:highlight w:val="none"/>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22C4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B17461">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CB17461">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AE2A0A"/>
    <w:rsid w:val="0BE07789"/>
    <w:rsid w:val="4BAE2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footer"/>
    <w:basedOn w:val="1"/>
    <w:qFormat/>
    <w:uiPriority w:val="0"/>
    <w:pPr>
      <w:tabs>
        <w:tab w:val="center" w:pos="4153"/>
        <w:tab w:val="right" w:pos="8306"/>
      </w:tabs>
      <w:snapToGrid w:val="0"/>
      <w:jc w:val="left"/>
    </w:pPr>
    <w:rPr>
      <w:sz w:val="18"/>
    </w:rPr>
  </w:style>
  <w:style w:type="table" w:styleId="5">
    <w:name w:val="Table Grid"/>
    <w:basedOn w:val="4"/>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2026-08-19T09:13:00Z</dcterms:created>
  <dc:creator>论证意见</dc:creator>
  <cp:lastModifiedBy>论证意见</cp:lastModifiedBy>
  <dcterms:modified xsi:type="dcterms:W3CDTF">2026-08-19T09:14:56Z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530EBB2B314B4B5A9B39D44F4B84C537_11</vt:lpwstr>
  </property>
  <property fmtid="{D5CDD505-2E9C-101B-9397-08002B2CF9AE}" pid="4" name="KSOTemplateDocerSaveRecord">
    <vt:lpwstr>eyJoZGlkIjoiZDk5NGM4MDE4ODI5MjFmMjQzNzNkOTJjOWFiODdmM2EiLCJ1c2VySWQiOiIzNjg2NDU2NDEifQ==</vt:lpwstr>
  </property>
</Properties>
</file>